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D75B1" w14:textId="77777777" w:rsidR="001E10FF" w:rsidRDefault="001E10FF" w:rsidP="00FC2F58">
      <w:pPr>
        <w:tabs>
          <w:tab w:val="left" w:pos="7650"/>
        </w:tabs>
        <w:spacing w:line="480" w:lineRule="auto"/>
        <w:jc w:val="center"/>
      </w:pPr>
    </w:p>
    <w:p w14:paraId="3198EBC8" w14:textId="77777777" w:rsidR="001E10FF" w:rsidRDefault="001E10FF" w:rsidP="00FC2F58">
      <w:pPr>
        <w:tabs>
          <w:tab w:val="left" w:pos="7650"/>
        </w:tabs>
        <w:spacing w:line="480" w:lineRule="auto"/>
        <w:jc w:val="center"/>
      </w:pPr>
    </w:p>
    <w:p w14:paraId="529A2163" w14:textId="77777777" w:rsidR="001E10FF" w:rsidRDefault="001E10FF" w:rsidP="00FC2F58">
      <w:pPr>
        <w:tabs>
          <w:tab w:val="left" w:pos="7650"/>
        </w:tabs>
        <w:spacing w:line="480" w:lineRule="auto"/>
        <w:jc w:val="center"/>
      </w:pPr>
    </w:p>
    <w:p w14:paraId="7DFFA29C" w14:textId="77777777" w:rsidR="001E10FF" w:rsidRDefault="001E10FF" w:rsidP="00FC2F58">
      <w:pPr>
        <w:tabs>
          <w:tab w:val="left" w:pos="7650"/>
        </w:tabs>
        <w:spacing w:line="480" w:lineRule="auto"/>
        <w:jc w:val="center"/>
      </w:pPr>
    </w:p>
    <w:p w14:paraId="530E3E18" w14:textId="77777777" w:rsidR="001E10FF" w:rsidRDefault="001E10FF" w:rsidP="00FC2F58">
      <w:pPr>
        <w:tabs>
          <w:tab w:val="left" w:pos="7650"/>
        </w:tabs>
        <w:spacing w:line="480" w:lineRule="auto"/>
        <w:jc w:val="center"/>
      </w:pPr>
    </w:p>
    <w:p w14:paraId="64710FA2" w14:textId="77777777" w:rsidR="00F73667" w:rsidRPr="001E52FE" w:rsidRDefault="00C95F6B" w:rsidP="00FC2F58">
      <w:pPr>
        <w:tabs>
          <w:tab w:val="left" w:pos="7650"/>
        </w:tabs>
        <w:spacing w:line="480" w:lineRule="auto"/>
        <w:jc w:val="center"/>
      </w:pPr>
      <w:r w:rsidRPr="001E52FE">
        <w:t xml:space="preserve">Dyadic Perspectives </w:t>
      </w:r>
      <w:r w:rsidR="00854ABF" w:rsidRPr="001E52FE">
        <w:t xml:space="preserve">on </w:t>
      </w:r>
      <w:r w:rsidRPr="001E52FE">
        <w:t>Advice between Friends</w:t>
      </w:r>
      <w:r w:rsidR="00F73667" w:rsidRPr="001E52FE">
        <w:t>:</w:t>
      </w:r>
    </w:p>
    <w:p w14:paraId="6071AFC9" w14:textId="16B2B65F" w:rsidR="00F73667" w:rsidRPr="001E52FE" w:rsidRDefault="00F04ED4" w:rsidP="00FC2F58">
      <w:pPr>
        <w:tabs>
          <w:tab w:val="left" w:pos="7650"/>
        </w:tabs>
        <w:spacing w:line="480" w:lineRule="auto"/>
        <w:jc w:val="center"/>
      </w:pPr>
      <w:r w:rsidRPr="001E52FE">
        <w:t>R</w:t>
      </w:r>
      <w:r w:rsidR="00F73667" w:rsidRPr="001E52FE">
        <w:t xml:space="preserve">elational </w:t>
      </w:r>
      <w:r w:rsidR="0082068B" w:rsidRPr="001E52FE">
        <w:t xml:space="preserve">Influence, </w:t>
      </w:r>
      <w:r w:rsidRPr="001E52FE">
        <w:t>A</w:t>
      </w:r>
      <w:r w:rsidR="00F73667" w:rsidRPr="001E52FE">
        <w:t xml:space="preserve">dvice </w:t>
      </w:r>
      <w:r w:rsidR="007D7807" w:rsidRPr="001E52FE">
        <w:t>Quality</w:t>
      </w:r>
      <w:r w:rsidR="0082068B" w:rsidRPr="001E52FE">
        <w:t xml:space="preserve">, and </w:t>
      </w:r>
      <w:r w:rsidR="007D7807" w:rsidRPr="001E52FE">
        <w:t>Conversation Satisfaction</w:t>
      </w:r>
    </w:p>
    <w:p w14:paraId="610B267D" w14:textId="77777777" w:rsidR="007E0031" w:rsidRPr="001E52FE" w:rsidRDefault="007E0031" w:rsidP="00FC2F58">
      <w:pPr>
        <w:tabs>
          <w:tab w:val="left" w:pos="7650"/>
        </w:tabs>
        <w:spacing w:line="480" w:lineRule="auto"/>
        <w:jc w:val="center"/>
      </w:pPr>
    </w:p>
    <w:p w14:paraId="6DC287A2" w14:textId="65EA6E83" w:rsidR="00502C15" w:rsidRPr="001E52FE" w:rsidRDefault="00502C15" w:rsidP="0083729B">
      <w:pPr>
        <w:jc w:val="center"/>
      </w:pPr>
      <w:r w:rsidRPr="001E52FE">
        <w:t>Lisa M. Guntzviller</w:t>
      </w:r>
    </w:p>
    <w:p w14:paraId="3C3F8863" w14:textId="77777777" w:rsidR="00260D8A" w:rsidRPr="001E52FE" w:rsidRDefault="00D648DF" w:rsidP="0083729B">
      <w:pPr>
        <w:jc w:val="center"/>
      </w:pPr>
      <w:r w:rsidRPr="001E52FE">
        <w:t xml:space="preserve">Department of Communication, </w:t>
      </w:r>
    </w:p>
    <w:p w14:paraId="5ADA56A0" w14:textId="3CD115D6" w:rsidR="00502C15" w:rsidRPr="001E52FE" w:rsidRDefault="00502C15" w:rsidP="0083729B">
      <w:pPr>
        <w:jc w:val="center"/>
      </w:pPr>
      <w:r w:rsidRPr="001E52FE">
        <w:t>University of Illinois at Urbana-Champaign</w:t>
      </w:r>
      <w:r w:rsidR="00D648DF" w:rsidRPr="001E52FE">
        <w:t>, Urbana, IL</w:t>
      </w:r>
    </w:p>
    <w:p w14:paraId="7623884F" w14:textId="77777777" w:rsidR="0083729B" w:rsidRPr="001E52FE" w:rsidRDefault="0083729B" w:rsidP="0083729B">
      <w:pPr>
        <w:jc w:val="center"/>
      </w:pPr>
    </w:p>
    <w:p w14:paraId="053A0CDF" w14:textId="77777777" w:rsidR="00502C15" w:rsidRPr="001E52FE" w:rsidRDefault="00502C15" w:rsidP="0083729B">
      <w:pPr>
        <w:jc w:val="center"/>
      </w:pPr>
      <w:r w:rsidRPr="001E52FE">
        <w:t>Erina L. MacGeorge</w:t>
      </w:r>
    </w:p>
    <w:p w14:paraId="0C50A6CA" w14:textId="77777777" w:rsidR="00260D8A" w:rsidRPr="001E52FE" w:rsidRDefault="00F8670D" w:rsidP="0083729B">
      <w:pPr>
        <w:jc w:val="center"/>
      </w:pPr>
      <w:r w:rsidRPr="001E52FE">
        <w:t>Department of Communication</w:t>
      </w:r>
      <w:r w:rsidR="00762336" w:rsidRPr="001E52FE">
        <w:t xml:space="preserve"> Arts &amp; Sciences</w:t>
      </w:r>
      <w:r w:rsidRPr="001E52FE">
        <w:t xml:space="preserve">, </w:t>
      </w:r>
    </w:p>
    <w:p w14:paraId="1F0C8B33" w14:textId="2A0BD0B7" w:rsidR="00502C15" w:rsidRPr="001E52FE" w:rsidRDefault="00502C15" w:rsidP="0083729B">
      <w:pPr>
        <w:jc w:val="center"/>
      </w:pPr>
      <w:r w:rsidRPr="001E52FE">
        <w:t>Pennsylvania State University</w:t>
      </w:r>
      <w:r w:rsidR="00762336" w:rsidRPr="001E52FE">
        <w:t xml:space="preserve">, </w:t>
      </w:r>
      <w:r w:rsidR="003F5A9D">
        <w:t>University Park</w:t>
      </w:r>
      <w:r w:rsidR="00762336" w:rsidRPr="001E52FE">
        <w:t>, PA</w:t>
      </w:r>
    </w:p>
    <w:p w14:paraId="180D7841" w14:textId="57CB154D" w:rsidR="0083729B" w:rsidRPr="001E52FE" w:rsidRDefault="0083729B" w:rsidP="0083729B">
      <w:pPr>
        <w:jc w:val="center"/>
      </w:pPr>
    </w:p>
    <w:p w14:paraId="24FD13F3" w14:textId="0C881CA0" w:rsidR="0083729B" w:rsidRPr="001E52FE" w:rsidRDefault="0083729B" w:rsidP="0083729B">
      <w:pPr>
        <w:jc w:val="center"/>
      </w:pPr>
      <w:r w:rsidRPr="001E52FE">
        <w:t xml:space="preserve">&amp; </w:t>
      </w:r>
    </w:p>
    <w:p w14:paraId="5CBEDD0C" w14:textId="77777777" w:rsidR="0083729B" w:rsidRPr="001E52FE" w:rsidRDefault="0083729B" w:rsidP="0083729B">
      <w:pPr>
        <w:jc w:val="center"/>
      </w:pPr>
    </w:p>
    <w:p w14:paraId="3F44E23E" w14:textId="6332921A" w:rsidR="00502C15" w:rsidRPr="001E52FE" w:rsidRDefault="00502C15" w:rsidP="0083729B">
      <w:pPr>
        <w:jc w:val="center"/>
      </w:pPr>
      <w:r w:rsidRPr="001E52FE">
        <w:t xml:space="preserve">David </w:t>
      </w:r>
      <w:r w:rsidR="008903CB" w:rsidRPr="001E52FE">
        <w:t xml:space="preserve">L. </w:t>
      </w:r>
      <w:r w:rsidRPr="001E52FE">
        <w:t>Brinker, Jr.</w:t>
      </w:r>
    </w:p>
    <w:p w14:paraId="68666F84" w14:textId="77777777" w:rsidR="00260D8A" w:rsidRPr="001E52FE" w:rsidRDefault="00DE15B1" w:rsidP="00DE15B1">
      <w:pPr>
        <w:jc w:val="center"/>
      </w:pPr>
      <w:r w:rsidRPr="001E52FE">
        <w:t xml:space="preserve">Department of Communication Arts &amp; Sciences, </w:t>
      </w:r>
    </w:p>
    <w:p w14:paraId="51CDF27B" w14:textId="450CD013" w:rsidR="00DE15B1" w:rsidRPr="001E52FE" w:rsidRDefault="00DE15B1" w:rsidP="00DE15B1">
      <w:pPr>
        <w:jc w:val="center"/>
      </w:pPr>
      <w:r w:rsidRPr="001E52FE">
        <w:t xml:space="preserve">Pennsylvania State University, </w:t>
      </w:r>
      <w:r w:rsidR="003F5A9D">
        <w:t>University Park</w:t>
      </w:r>
      <w:r w:rsidRPr="001E52FE">
        <w:t>, PA</w:t>
      </w:r>
    </w:p>
    <w:p w14:paraId="183F4CD9" w14:textId="77777777" w:rsidR="001E026B" w:rsidRPr="001E52FE" w:rsidRDefault="001E026B" w:rsidP="00FC2F58">
      <w:pPr>
        <w:tabs>
          <w:tab w:val="left" w:pos="7650"/>
        </w:tabs>
        <w:spacing w:line="480" w:lineRule="auto"/>
        <w:jc w:val="center"/>
      </w:pPr>
    </w:p>
    <w:p w14:paraId="4F73E218" w14:textId="77777777" w:rsidR="004B470D" w:rsidRPr="0048307D" w:rsidRDefault="004B470D" w:rsidP="00FC2F58">
      <w:pPr>
        <w:tabs>
          <w:tab w:val="left" w:pos="7650"/>
        </w:tabs>
        <w:spacing w:line="480" w:lineRule="auto"/>
        <w:jc w:val="center"/>
        <w:rPr>
          <w:i/>
        </w:rPr>
      </w:pPr>
    </w:p>
    <w:p w14:paraId="2BB59494" w14:textId="3180C3F0" w:rsidR="00A5480B" w:rsidRPr="0048307D" w:rsidRDefault="0048307D" w:rsidP="007F2B4A">
      <w:pPr>
        <w:tabs>
          <w:tab w:val="left" w:pos="7650"/>
        </w:tabs>
        <w:spacing w:line="480" w:lineRule="auto"/>
        <w:jc w:val="center"/>
        <w:rPr>
          <w:i/>
        </w:rPr>
      </w:pPr>
      <w:r w:rsidRPr="0048307D">
        <w:rPr>
          <w:i/>
        </w:rPr>
        <w:t xml:space="preserve">This article is currently in press at Communication Monographs, expected to be Online First during August 2017, and published </w:t>
      </w:r>
      <w:r>
        <w:rPr>
          <w:i/>
        </w:rPr>
        <w:t>in early</w:t>
      </w:r>
      <w:r w:rsidRPr="0048307D">
        <w:rPr>
          <w:i/>
        </w:rPr>
        <w:t xml:space="preserve"> 201</w:t>
      </w:r>
      <w:bookmarkStart w:id="0" w:name="_GoBack"/>
      <w:bookmarkEnd w:id="0"/>
      <w:r w:rsidRPr="0048307D">
        <w:rPr>
          <w:i/>
        </w:rPr>
        <w:t>8.</w:t>
      </w:r>
    </w:p>
    <w:p w14:paraId="7011ADC8" w14:textId="77777777" w:rsidR="000E1360" w:rsidRPr="001E52FE" w:rsidRDefault="000E1360" w:rsidP="00FC2F58">
      <w:pPr>
        <w:tabs>
          <w:tab w:val="left" w:pos="7650"/>
        </w:tabs>
        <w:spacing w:line="480" w:lineRule="auto"/>
        <w:jc w:val="center"/>
      </w:pPr>
    </w:p>
    <w:p w14:paraId="7144BE73" w14:textId="77777777" w:rsidR="00703CAD" w:rsidRPr="001E52FE" w:rsidRDefault="00703CAD" w:rsidP="00FC2F58">
      <w:pPr>
        <w:tabs>
          <w:tab w:val="left" w:pos="7650"/>
        </w:tabs>
        <w:spacing w:line="480" w:lineRule="auto"/>
        <w:jc w:val="center"/>
      </w:pPr>
      <w:r w:rsidRPr="001E52FE">
        <w:br w:type="page"/>
      </w:r>
    </w:p>
    <w:p w14:paraId="754B3816" w14:textId="67029779" w:rsidR="00EE1380" w:rsidRPr="001E52FE" w:rsidRDefault="00EE1380" w:rsidP="0034745C">
      <w:pPr>
        <w:spacing w:after="160" w:line="480" w:lineRule="auto"/>
        <w:jc w:val="center"/>
        <w:rPr>
          <w:b/>
        </w:rPr>
      </w:pPr>
      <w:r w:rsidRPr="001E52FE">
        <w:rPr>
          <w:b/>
        </w:rPr>
        <w:lastRenderedPageBreak/>
        <w:t>Abstract</w:t>
      </w:r>
    </w:p>
    <w:p w14:paraId="61B39D00" w14:textId="6D8C43B8" w:rsidR="003710A6" w:rsidRPr="001E52FE" w:rsidRDefault="00CA4EDE" w:rsidP="00FC2F58">
      <w:pPr>
        <w:spacing w:line="480" w:lineRule="auto"/>
        <w:rPr>
          <w:rFonts w:cs="Times New Roman"/>
        </w:rPr>
      </w:pPr>
      <w:r w:rsidRPr="001E52FE">
        <w:rPr>
          <w:rFonts w:cs="Times New Roman"/>
        </w:rPr>
        <w:t>Theory on advice</w:t>
      </w:r>
      <w:r w:rsidR="00232760" w:rsidRPr="001E52FE">
        <w:rPr>
          <w:rFonts w:cs="Times New Roman"/>
        </w:rPr>
        <w:t xml:space="preserve"> </w:t>
      </w:r>
      <w:r w:rsidRPr="001E52FE">
        <w:rPr>
          <w:rFonts w:cs="Times New Roman"/>
        </w:rPr>
        <w:t>currently gives</w:t>
      </w:r>
      <w:r w:rsidR="00232760" w:rsidRPr="001E52FE">
        <w:rPr>
          <w:rFonts w:cs="Times New Roman"/>
        </w:rPr>
        <w:t xml:space="preserve"> insufficient attention to </w:t>
      </w:r>
      <w:r w:rsidR="006B732A" w:rsidRPr="001E52FE">
        <w:rPr>
          <w:rFonts w:cs="Times New Roman"/>
        </w:rPr>
        <w:t>relational context</w:t>
      </w:r>
      <w:r w:rsidR="004878DC" w:rsidRPr="001E52FE">
        <w:rPr>
          <w:rFonts w:cs="Times New Roman"/>
        </w:rPr>
        <w:t>,</w:t>
      </w:r>
      <w:r w:rsidR="00E241CA">
        <w:rPr>
          <w:rFonts w:cs="Times New Roman"/>
        </w:rPr>
        <w:t xml:space="preserve"> the</w:t>
      </w:r>
      <w:r w:rsidR="00232760" w:rsidRPr="001E52FE">
        <w:rPr>
          <w:rFonts w:cs="Times New Roman"/>
        </w:rPr>
        <w:t xml:space="preserve"> </w:t>
      </w:r>
      <w:r w:rsidR="00523E72" w:rsidRPr="001E52FE">
        <w:rPr>
          <w:rFonts w:cs="Times New Roman"/>
        </w:rPr>
        <w:t xml:space="preserve">interaction, </w:t>
      </w:r>
      <w:r w:rsidR="00232760" w:rsidRPr="001E52FE">
        <w:rPr>
          <w:rFonts w:cs="Times New Roman"/>
        </w:rPr>
        <w:t xml:space="preserve">and </w:t>
      </w:r>
      <w:r w:rsidR="00CE58D0">
        <w:rPr>
          <w:rFonts w:cs="Times New Roman"/>
        </w:rPr>
        <w:t xml:space="preserve">the </w:t>
      </w:r>
      <w:r w:rsidR="00FF3662" w:rsidRPr="001E52FE">
        <w:rPr>
          <w:rFonts w:cs="Times New Roman"/>
        </w:rPr>
        <w:t>advisor’s perspective</w:t>
      </w:r>
      <w:r w:rsidR="00232760" w:rsidRPr="001E52FE">
        <w:rPr>
          <w:rFonts w:cs="Times New Roman"/>
        </w:rPr>
        <w:t xml:space="preserve">. </w:t>
      </w:r>
      <w:r w:rsidR="007007BC" w:rsidRPr="001E52FE">
        <w:rPr>
          <w:rFonts w:cs="Times New Roman"/>
        </w:rPr>
        <w:t>We conceptualize</w:t>
      </w:r>
      <w:r w:rsidR="00610F61" w:rsidRPr="001E52FE">
        <w:rPr>
          <w:rFonts w:cs="Times New Roman"/>
        </w:rPr>
        <w:t xml:space="preserve"> advice </w:t>
      </w:r>
      <w:r w:rsidR="00FF3662" w:rsidRPr="001E52FE">
        <w:rPr>
          <w:rFonts w:cs="Times New Roman"/>
        </w:rPr>
        <w:t xml:space="preserve">interactions </w:t>
      </w:r>
      <w:r w:rsidR="00610F61" w:rsidRPr="001E52FE">
        <w:rPr>
          <w:rFonts w:cs="Times New Roman"/>
        </w:rPr>
        <w:t xml:space="preserve">as dyadic </w:t>
      </w:r>
      <w:r w:rsidR="00FF3662" w:rsidRPr="001E52FE">
        <w:rPr>
          <w:rFonts w:cs="Times New Roman"/>
        </w:rPr>
        <w:t>processes within relationships, and examine how relationship assessments influence perceptions of advice and the interaction</w:t>
      </w:r>
      <w:r w:rsidR="00610F61" w:rsidRPr="001E52FE">
        <w:rPr>
          <w:rFonts w:cs="Times New Roman"/>
        </w:rPr>
        <w:t xml:space="preserve">. </w:t>
      </w:r>
      <w:r w:rsidR="00FF3662" w:rsidRPr="001E52FE">
        <w:rPr>
          <w:rFonts w:cs="Times New Roman"/>
        </w:rPr>
        <w:t>Friends</w:t>
      </w:r>
      <w:r w:rsidR="00EE1380" w:rsidRPr="001E52FE">
        <w:rPr>
          <w:rFonts w:cs="Times New Roman"/>
        </w:rPr>
        <w:t xml:space="preserve"> reported on their relationship</w:t>
      </w:r>
      <w:r w:rsidR="00FF3662" w:rsidRPr="001E52FE">
        <w:rPr>
          <w:rFonts w:cs="Times New Roman"/>
        </w:rPr>
        <w:t>s</w:t>
      </w:r>
      <w:r w:rsidR="00EE1380" w:rsidRPr="001E52FE">
        <w:rPr>
          <w:rFonts w:cs="Times New Roman"/>
        </w:rPr>
        <w:t xml:space="preserve"> </w:t>
      </w:r>
      <w:r w:rsidR="00B616F1" w:rsidRPr="001E52FE">
        <w:rPr>
          <w:rFonts w:cs="Times New Roman"/>
        </w:rPr>
        <w:t>(1</w:t>
      </w:r>
      <w:r w:rsidR="002C0261" w:rsidRPr="001E52FE">
        <w:rPr>
          <w:rFonts w:cs="Times New Roman"/>
        </w:rPr>
        <w:t>5</w:t>
      </w:r>
      <w:r w:rsidR="009A3C04" w:rsidRPr="001E52FE">
        <w:rPr>
          <w:rFonts w:cs="Times New Roman"/>
        </w:rPr>
        <w:t>2</w:t>
      </w:r>
      <w:r w:rsidR="00B616F1" w:rsidRPr="001E52FE">
        <w:rPr>
          <w:rFonts w:cs="Times New Roman"/>
        </w:rPr>
        <w:t xml:space="preserve"> dyads, </w:t>
      </w:r>
      <w:r w:rsidR="00B616F1" w:rsidRPr="001E52FE">
        <w:rPr>
          <w:rFonts w:cs="Times New Roman"/>
          <w:i/>
        </w:rPr>
        <w:t>N</w:t>
      </w:r>
      <w:r w:rsidR="00B616F1" w:rsidRPr="001E52FE">
        <w:rPr>
          <w:rFonts w:cs="Times New Roman"/>
        </w:rPr>
        <w:t xml:space="preserve"> = </w:t>
      </w:r>
      <w:r w:rsidR="002C0261" w:rsidRPr="001E52FE">
        <w:rPr>
          <w:rFonts w:cs="Times New Roman"/>
        </w:rPr>
        <w:t>30</w:t>
      </w:r>
      <w:r w:rsidR="009A3C04" w:rsidRPr="001E52FE">
        <w:rPr>
          <w:rFonts w:cs="Times New Roman"/>
        </w:rPr>
        <w:t>4</w:t>
      </w:r>
      <w:r w:rsidR="00B616F1" w:rsidRPr="001E52FE">
        <w:rPr>
          <w:rFonts w:cs="Times New Roman"/>
        </w:rPr>
        <w:t>)</w:t>
      </w:r>
      <w:r w:rsidR="00EE1380" w:rsidRPr="001E52FE">
        <w:rPr>
          <w:rFonts w:cs="Times New Roman"/>
        </w:rPr>
        <w:t>, had conversation</w:t>
      </w:r>
      <w:r w:rsidR="00FF3662" w:rsidRPr="001E52FE">
        <w:rPr>
          <w:rFonts w:cs="Times New Roman"/>
        </w:rPr>
        <w:t>s</w:t>
      </w:r>
      <w:r w:rsidR="00232760" w:rsidRPr="001E52FE">
        <w:rPr>
          <w:rFonts w:cs="Times New Roman"/>
        </w:rPr>
        <w:t xml:space="preserve"> that included advice</w:t>
      </w:r>
      <w:r w:rsidR="009B0E32" w:rsidRPr="001E52FE">
        <w:rPr>
          <w:rFonts w:cs="Times New Roman"/>
        </w:rPr>
        <w:t xml:space="preserve">, and </w:t>
      </w:r>
      <w:r w:rsidR="00EE1380" w:rsidRPr="001E52FE">
        <w:rPr>
          <w:rFonts w:cs="Times New Roman"/>
        </w:rPr>
        <w:t xml:space="preserve">then rated advice quality and </w:t>
      </w:r>
      <w:r w:rsidR="00C24E85" w:rsidRPr="001E52FE">
        <w:rPr>
          <w:rFonts w:cs="Times New Roman"/>
        </w:rPr>
        <w:t xml:space="preserve">conversational </w:t>
      </w:r>
      <w:r w:rsidR="00EE1380" w:rsidRPr="001E52FE">
        <w:rPr>
          <w:rFonts w:cs="Times New Roman"/>
        </w:rPr>
        <w:t xml:space="preserve">satisfaction. </w:t>
      </w:r>
      <w:r w:rsidR="00FF3662" w:rsidRPr="001E52FE">
        <w:rPr>
          <w:rFonts w:cs="Times New Roman"/>
        </w:rPr>
        <w:t>An a</w:t>
      </w:r>
      <w:r w:rsidR="00EE1380" w:rsidRPr="001E52FE">
        <w:rPr>
          <w:rFonts w:cs="Times New Roman"/>
        </w:rPr>
        <w:t>ctor-partner interdependence model</w:t>
      </w:r>
      <w:r w:rsidR="00661567" w:rsidRPr="001E52FE">
        <w:rPr>
          <w:rFonts w:cs="Times New Roman"/>
        </w:rPr>
        <w:t xml:space="preserve"> </w:t>
      </w:r>
      <w:r w:rsidR="00536B88" w:rsidRPr="001E52FE">
        <w:rPr>
          <w:rFonts w:cs="Times New Roman"/>
        </w:rPr>
        <w:t xml:space="preserve">supported </w:t>
      </w:r>
      <w:r w:rsidR="00F25302" w:rsidRPr="001E52FE">
        <w:rPr>
          <w:rFonts w:cs="Times New Roman"/>
        </w:rPr>
        <w:t>a</w:t>
      </w:r>
      <w:r w:rsidR="00536B88" w:rsidRPr="001E52FE">
        <w:rPr>
          <w:rFonts w:cs="Times New Roman"/>
        </w:rPr>
        <w:t xml:space="preserve"> </w:t>
      </w:r>
      <w:r w:rsidR="00DD023F" w:rsidRPr="001E52FE">
        <w:rPr>
          <w:rFonts w:cs="Times New Roman"/>
        </w:rPr>
        <w:t>“</w:t>
      </w:r>
      <w:r w:rsidR="00536B88" w:rsidRPr="001E52FE">
        <w:rPr>
          <w:rFonts w:cs="Times New Roman"/>
        </w:rPr>
        <w:t>mutual influence model</w:t>
      </w:r>
      <w:r w:rsidR="00DD023F" w:rsidRPr="001E52FE">
        <w:rPr>
          <w:rFonts w:cs="Times New Roman"/>
        </w:rPr>
        <w:t>”</w:t>
      </w:r>
      <w:r w:rsidR="00536B88" w:rsidRPr="001E52FE">
        <w:rPr>
          <w:rFonts w:cs="Times New Roman"/>
        </w:rPr>
        <w:t xml:space="preserve">: </w:t>
      </w:r>
      <w:r w:rsidR="00C20869" w:rsidRPr="001E52FE">
        <w:rPr>
          <w:rFonts w:cs="Times New Roman"/>
        </w:rPr>
        <w:t>both</w:t>
      </w:r>
      <w:r w:rsidR="004F6262" w:rsidRPr="001E52FE">
        <w:rPr>
          <w:rFonts w:cs="Times New Roman"/>
        </w:rPr>
        <w:t xml:space="preserve"> </w:t>
      </w:r>
      <w:r w:rsidR="00EE1380" w:rsidRPr="001E52FE">
        <w:rPr>
          <w:rFonts w:cs="Times New Roman"/>
        </w:rPr>
        <w:t>advisor</w:t>
      </w:r>
      <w:r w:rsidR="00AA00C4" w:rsidRPr="001E52FE">
        <w:rPr>
          <w:rFonts w:cs="Times New Roman"/>
        </w:rPr>
        <w:t>s</w:t>
      </w:r>
      <w:r w:rsidR="00EE1380" w:rsidRPr="001E52FE">
        <w:rPr>
          <w:rFonts w:cs="Times New Roman"/>
        </w:rPr>
        <w:t xml:space="preserve"> and recipient</w:t>
      </w:r>
      <w:r w:rsidR="00AA00C4" w:rsidRPr="001E52FE">
        <w:rPr>
          <w:rFonts w:cs="Times New Roman"/>
        </w:rPr>
        <w:t>s</w:t>
      </w:r>
      <w:r w:rsidR="00EE1380" w:rsidRPr="001E52FE">
        <w:rPr>
          <w:rFonts w:cs="Times New Roman"/>
        </w:rPr>
        <w:t xml:space="preserve"> </w:t>
      </w:r>
      <w:r w:rsidR="00AA00C4" w:rsidRPr="001E52FE">
        <w:t>w</w:t>
      </w:r>
      <w:r w:rsidR="00D94924" w:rsidRPr="001E52FE">
        <w:t>ere influenced by their own and their partners</w:t>
      </w:r>
      <w:r w:rsidR="00403766" w:rsidRPr="001E52FE">
        <w:t>’</w:t>
      </w:r>
      <w:r w:rsidR="00D94924" w:rsidRPr="001E52FE">
        <w:t xml:space="preserve"> assessments.</w:t>
      </w:r>
      <w:r w:rsidR="00EE1380" w:rsidRPr="001E52FE">
        <w:rPr>
          <w:rFonts w:cs="Times New Roman"/>
        </w:rPr>
        <w:t xml:space="preserve"> </w:t>
      </w:r>
      <w:r w:rsidR="005E3FC9" w:rsidRPr="001E52FE">
        <w:rPr>
          <w:rFonts w:cs="Times New Roman"/>
        </w:rPr>
        <w:t xml:space="preserve">For advisors and recipients, </w:t>
      </w:r>
      <w:r w:rsidR="0062415B" w:rsidRPr="001E52FE">
        <w:rPr>
          <w:rFonts w:cs="Times New Roman"/>
        </w:rPr>
        <w:t xml:space="preserve">higher </w:t>
      </w:r>
      <w:r w:rsidR="00B17124" w:rsidRPr="001E52FE">
        <w:rPr>
          <w:rFonts w:cs="Times New Roman"/>
        </w:rPr>
        <w:t xml:space="preserve">ratings of </w:t>
      </w:r>
      <w:r w:rsidR="00D23602" w:rsidRPr="001E52FE">
        <w:rPr>
          <w:rFonts w:cs="Times New Roman"/>
        </w:rPr>
        <w:t>partner</w:t>
      </w:r>
      <w:r w:rsidR="00F061E9" w:rsidRPr="001E52FE">
        <w:rPr>
          <w:rFonts w:cs="Times New Roman"/>
        </w:rPr>
        <w:t>s’</w:t>
      </w:r>
      <w:r w:rsidR="00D23602" w:rsidRPr="001E52FE">
        <w:rPr>
          <w:rFonts w:cs="Times New Roman"/>
        </w:rPr>
        <w:t xml:space="preserve"> </w:t>
      </w:r>
      <w:r w:rsidR="00B17124" w:rsidRPr="001E52FE">
        <w:rPr>
          <w:rFonts w:cs="Times New Roman"/>
        </w:rPr>
        <w:t xml:space="preserve">past support </w:t>
      </w:r>
      <w:r w:rsidR="008A1FBC" w:rsidRPr="001E52FE">
        <w:rPr>
          <w:rFonts w:cs="Times New Roman"/>
        </w:rPr>
        <w:t>increased</w:t>
      </w:r>
      <w:r w:rsidR="00B17124" w:rsidRPr="001E52FE">
        <w:rPr>
          <w:rFonts w:cs="Times New Roman"/>
        </w:rPr>
        <w:t xml:space="preserve"> </w:t>
      </w:r>
      <w:r w:rsidR="00A0592B" w:rsidRPr="001E52FE">
        <w:rPr>
          <w:rFonts w:cs="Times New Roman"/>
        </w:rPr>
        <w:t xml:space="preserve">their </w:t>
      </w:r>
      <w:r w:rsidR="00B17124" w:rsidRPr="001E52FE">
        <w:rPr>
          <w:rFonts w:cs="Times New Roman"/>
        </w:rPr>
        <w:t>own advice quality ratings and conversation satisfaction</w:t>
      </w:r>
      <w:r w:rsidR="00182DA8" w:rsidRPr="001E52FE">
        <w:rPr>
          <w:rFonts w:cs="Times New Roman"/>
        </w:rPr>
        <w:t xml:space="preserve">, and </w:t>
      </w:r>
      <w:r w:rsidR="008643B9" w:rsidRPr="001E52FE">
        <w:rPr>
          <w:rFonts w:cs="Times New Roman"/>
        </w:rPr>
        <w:t xml:space="preserve">higher </w:t>
      </w:r>
      <w:r w:rsidR="00182DA8" w:rsidRPr="001E52FE">
        <w:rPr>
          <w:rFonts w:cs="Times New Roman"/>
        </w:rPr>
        <w:t>advice quality increased conversation satisfaction.</w:t>
      </w:r>
      <w:r w:rsidR="00B17124" w:rsidRPr="001E52FE">
        <w:rPr>
          <w:rFonts w:cs="Times New Roman"/>
        </w:rPr>
        <w:t xml:space="preserve"> </w:t>
      </w:r>
      <w:r w:rsidR="00DA7B7E" w:rsidRPr="001E52FE">
        <w:rPr>
          <w:rFonts w:cs="Times New Roman"/>
        </w:rPr>
        <w:t>R</w:t>
      </w:r>
      <w:r w:rsidR="002460FE" w:rsidRPr="001E52FE">
        <w:rPr>
          <w:rFonts w:cs="Times New Roman"/>
        </w:rPr>
        <w:t>elationship</w:t>
      </w:r>
      <w:r w:rsidR="000E1F5D" w:rsidRPr="001E52FE">
        <w:rPr>
          <w:rFonts w:cs="Times New Roman"/>
        </w:rPr>
        <w:t xml:space="preserve"> </w:t>
      </w:r>
      <w:r w:rsidR="00872113" w:rsidRPr="001E52FE">
        <w:rPr>
          <w:rFonts w:cs="Times New Roman"/>
        </w:rPr>
        <w:t>reports</w:t>
      </w:r>
      <w:r w:rsidR="00D83FCD" w:rsidRPr="001E52FE">
        <w:rPr>
          <w:rFonts w:cs="Times New Roman"/>
        </w:rPr>
        <w:t xml:space="preserve"> from the partner</w:t>
      </w:r>
      <w:r w:rsidR="002B2B69" w:rsidRPr="001E52FE">
        <w:rPr>
          <w:rFonts w:cs="Times New Roman"/>
        </w:rPr>
        <w:t>’</w:t>
      </w:r>
      <w:r w:rsidR="00D83FCD" w:rsidRPr="001E52FE">
        <w:rPr>
          <w:rFonts w:cs="Times New Roman"/>
        </w:rPr>
        <w:t>s perspective</w:t>
      </w:r>
      <w:r w:rsidR="00ED7CC8" w:rsidRPr="001E52FE">
        <w:rPr>
          <w:rFonts w:cs="Times New Roman"/>
        </w:rPr>
        <w:t xml:space="preserve"> </w:t>
      </w:r>
      <w:r w:rsidR="001804C8" w:rsidRPr="001E52FE">
        <w:rPr>
          <w:rFonts w:cs="Times New Roman"/>
        </w:rPr>
        <w:t xml:space="preserve">impacted </w:t>
      </w:r>
      <w:r w:rsidR="002767F5" w:rsidRPr="001E52FE">
        <w:rPr>
          <w:rFonts w:cs="Times New Roman"/>
        </w:rPr>
        <w:t>individuals</w:t>
      </w:r>
      <w:r w:rsidR="00C5108B" w:rsidRPr="001E52FE">
        <w:rPr>
          <w:rFonts w:cs="Times New Roman"/>
        </w:rPr>
        <w:t>’</w:t>
      </w:r>
      <w:r w:rsidR="002767F5" w:rsidRPr="001E52FE">
        <w:rPr>
          <w:rFonts w:cs="Times New Roman"/>
        </w:rPr>
        <w:t xml:space="preserve"> outcomes in </w:t>
      </w:r>
      <w:r w:rsidR="00395BE7" w:rsidRPr="001E52FE">
        <w:rPr>
          <w:rFonts w:cs="Times New Roman"/>
        </w:rPr>
        <w:t>unexpected</w:t>
      </w:r>
      <w:r w:rsidR="002767F5" w:rsidRPr="001E52FE">
        <w:rPr>
          <w:rFonts w:cs="Times New Roman"/>
        </w:rPr>
        <w:t xml:space="preserve"> ways</w:t>
      </w:r>
      <w:r w:rsidR="00F97066" w:rsidRPr="001E52FE">
        <w:rPr>
          <w:rFonts w:cs="Times New Roman"/>
        </w:rPr>
        <w:t>.</w:t>
      </w:r>
      <w:r w:rsidR="006705B8" w:rsidRPr="001E52FE">
        <w:rPr>
          <w:rFonts w:cs="Times New Roman"/>
        </w:rPr>
        <w:t xml:space="preserve"> </w:t>
      </w:r>
    </w:p>
    <w:p w14:paraId="429AF054" w14:textId="77777777" w:rsidR="00873B68" w:rsidRPr="001E52FE" w:rsidRDefault="00873B68" w:rsidP="00FC2F58">
      <w:pPr>
        <w:spacing w:line="480" w:lineRule="auto"/>
        <w:rPr>
          <w:rFonts w:cs="Times New Roman"/>
        </w:rPr>
      </w:pPr>
    </w:p>
    <w:p w14:paraId="4D028C80" w14:textId="23408A6B" w:rsidR="00D35231" w:rsidRPr="001E52FE" w:rsidRDefault="00D35231" w:rsidP="00FC2F58">
      <w:pPr>
        <w:spacing w:line="480" w:lineRule="auto"/>
        <w:rPr>
          <w:rFonts w:cs="Times New Roman"/>
        </w:rPr>
      </w:pPr>
      <w:r w:rsidRPr="001E52FE">
        <w:rPr>
          <w:rFonts w:cs="Times New Roman"/>
          <w:i/>
        </w:rPr>
        <w:t xml:space="preserve">Keywords: </w:t>
      </w:r>
      <w:r w:rsidRPr="001E52FE">
        <w:rPr>
          <w:rFonts w:cs="Times New Roman"/>
        </w:rPr>
        <w:t xml:space="preserve">advice, </w:t>
      </w:r>
      <w:r w:rsidR="00232760" w:rsidRPr="001E52FE">
        <w:rPr>
          <w:rFonts w:cs="Times New Roman"/>
        </w:rPr>
        <w:t xml:space="preserve">interaction, </w:t>
      </w:r>
      <w:r w:rsidRPr="001E52FE">
        <w:rPr>
          <w:rFonts w:cs="Times New Roman"/>
        </w:rPr>
        <w:t xml:space="preserve">actor-partner interdependence model, relationships, </w:t>
      </w:r>
      <w:r w:rsidR="00A4368B" w:rsidRPr="001E52FE">
        <w:rPr>
          <w:rFonts w:cs="Times New Roman"/>
        </w:rPr>
        <w:t>social support</w:t>
      </w:r>
    </w:p>
    <w:p w14:paraId="75D4D700" w14:textId="77777777" w:rsidR="00423D61" w:rsidRPr="001E52FE" w:rsidRDefault="00423D61" w:rsidP="00FC2F58">
      <w:pPr>
        <w:tabs>
          <w:tab w:val="center" w:pos="4680"/>
        </w:tabs>
        <w:spacing w:after="160" w:line="480" w:lineRule="auto"/>
        <w:jc w:val="center"/>
        <w:rPr>
          <w:b/>
        </w:rPr>
      </w:pPr>
    </w:p>
    <w:p w14:paraId="0149064D" w14:textId="77777777" w:rsidR="00C37393" w:rsidRPr="001E52FE" w:rsidRDefault="00EE1380" w:rsidP="00FC2F58">
      <w:pPr>
        <w:tabs>
          <w:tab w:val="left" w:pos="7650"/>
        </w:tabs>
        <w:spacing w:line="480" w:lineRule="auto"/>
        <w:jc w:val="center"/>
      </w:pPr>
      <w:r w:rsidRPr="001E52FE">
        <w:br w:type="page"/>
      </w:r>
      <w:r w:rsidR="00B35AFE" w:rsidRPr="001E52FE">
        <w:lastRenderedPageBreak/>
        <w:t xml:space="preserve">Dyadic Perspectives on </w:t>
      </w:r>
      <w:r w:rsidR="00C37393" w:rsidRPr="001E52FE">
        <w:t>Advice between Friends:</w:t>
      </w:r>
    </w:p>
    <w:p w14:paraId="69836FA4" w14:textId="77777777" w:rsidR="0082068B" w:rsidRPr="001E52FE" w:rsidRDefault="0082068B" w:rsidP="00FC2F58">
      <w:pPr>
        <w:tabs>
          <w:tab w:val="left" w:pos="7650"/>
        </w:tabs>
        <w:spacing w:line="480" w:lineRule="auto"/>
        <w:jc w:val="center"/>
      </w:pPr>
      <w:r w:rsidRPr="001E52FE">
        <w:t>Relational Influence, Advice Quality, and Conversation Satisfaction</w:t>
      </w:r>
    </w:p>
    <w:p w14:paraId="26F719FD" w14:textId="6F8A4C84" w:rsidR="00A762B2" w:rsidRPr="001E52FE" w:rsidRDefault="00802087" w:rsidP="00230009">
      <w:pPr>
        <w:spacing w:line="480" w:lineRule="auto"/>
      </w:pPr>
      <w:r w:rsidRPr="001E52FE">
        <w:tab/>
      </w:r>
      <w:r w:rsidR="00BD13AB" w:rsidRPr="001E52FE">
        <w:t>Advice—recommendations for what to say, think, or do about a problem—is a frequent and influential form of social support</w:t>
      </w:r>
      <w:r w:rsidR="00A762B2" w:rsidRPr="001E52FE">
        <w:t xml:space="preserve"> in myriad relationships</w:t>
      </w:r>
      <w:r w:rsidR="00BD13AB" w:rsidRPr="001E52FE">
        <w:t xml:space="preserve"> (MacGeor</w:t>
      </w:r>
      <w:r w:rsidR="00C006EE" w:rsidRPr="001E52FE">
        <w:t xml:space="preserve">ge, Feng, &amp; Guntzviller, 2016). </w:t>
      </w:r>
      <w:r w:rsidR="0050662B" w:rsidRPr="001E52FE">
        <w:t xml:space="preserve">Advice interactions can garner salutary outcomes, such as helping individuals emotionally cope with a problem, </w:t>
      </w:r>
      <w:r w:rsidR="007C2FD8" w:rsidRPr="001E52FE">
        <w:t>determine</w:t>
      </w:r>
      <w:r w:rsidR="00DD4D04" w:rsidRPr="001E52FE">
        <w:t xml:space="preserve"> solutions for a problem</w:t>
      </w:r>
      <w:r w:rsidR="003B6CD6" w:rsidRPr="001E52FE">
        <w:t xml:space="preserve">, </w:t>
      </w:r>
      <w:r w:rsidR="003F016B" w:rsidRPr="001E52FE">
        <w:t xml:space="preserve">and </w:t>
      </w:r>
      <w:r w:rsidR="0090748B" w:rsidRPr="001E52FE">
        <w:t>enact</w:t>
      </w:r>
      <w:r w:rsidR="003F016B" w:rsidRPr="001E52FE">
        <w:t xml:space="preserve"> productive problem-solving behaviors (</w:t>
      </w:r>
      <w:r w:rsidR="00FC6031" w:rsidRPr="001E52FE">
        <w:t>MacGeorge, Feng</w:t>
      </w:r>
      <w:r w:rsidR="00474616" w:rsidRPr="001E52FE">
        <w:t xml:space="preserve"> et al.</w:t>
      </w:r>
      <w:r w:rsidR="00FC6031" w:rsidRPr="001E52FE">
        <w:t>, 2016</w:t>
      </w:r>
      <w:r w:rsidR="00044389" w:rsidRPr="001E52FE">
        <w:t xml:space="preserve">). </w:t>
      </w:r>
      <w:r w:rsidR="004A0DAA" w:rsidRPr="001E52FE">
        <w:t>H</w:t>
      </w:r>
      <w:r w:rsidR="00A40577" w:rsidRPr="001E52FE">
        <w:t>owever</w:t>
      </w:r>
      <w:r w:rsidR="004A0DAA" w:rsidRPr="001E52FE">
        <w:t>,</w:t>
      </w:r>
      <w:r w:rsidR="00A40577" w:rsidRPr="001E52FE">
        <w:t xml:space="preserve"> </w:t>
      </w:r>
      <w:r w:rsidR="000C1237" w:rsidRPr="001E52FE">
        <w:t xml:space="preserve">advice can </w:t>
      </w:r>
      <w:r w:rsidR="00854ABF" w:rsidRPr="001E52FE">
        <w:t xml:space="preserve">also </w:t>
      </w:r>
      <w:r w:rsidR="002B2816" w:rsidRPr="001E52FE">
        <w:t xml:space="preserve">demean or criticize </w:t>
      </w:r>
      <w:r w:rsidR="000C1237" w:rsidRPr="001E52FE">
        <w:t>recipient</w:t>
      </w:r>
      <w:r w:rsidR="002B2816" w:rsidRPr="001E52FE">
        <w:t>s</w:t>
      </w:r>
      <w:r w:rsidR="000C1237" w:rsidRPr="001E52FE">
        <w:t xml:space="preserve">, </w:t>
      </w:r>
      <w:r w:rsidR="008E23C7" w:rsidRPr="001E52FE">
        <w:t>encourage</w:t>
      </w:r>
      <w:r w:rsidR="00A80127" w:rsidRPr="001E52FE">
        <w:t xml:space="preserve"> ina</w:t>
      </w:r>
      <w:r w:rsidR="00EC4D4D" w:rsidRPr="001E52FE">
        <w:t xml:space="preserve">dequate or </w:t>
      </w:r>
      <w:r w:rsidR="00E7572C" w:rsidRPr="001E52FE">
        <w:t>imprudent</w:t>
      </w:r>
      <w:r w:rsidR="00EC4D4D" w:rsidRPr="001E52FE">
        <w:t xml:space="preserve"> solution</w:t>
      </w:r>
      <w:r w:rsidR="002B2816" w:rsidRPr="001E52FE">
        <w:t>s</w:t>
      </w:r>
      <w:r w:rsidR="00EC4D4D" w:rsidRPr="001E52FE">
        <w:t xml:space="preserve">, </w:t>
      </w:r>
      <w:r w:rsidR="002B2816" w:rsidRPr="001E52FE">
        <w:t>and</w:t>
      </w:r>
      <w:r w:rsidR="00DC617D" w:rsidRPr="001E52FE">
        <w:t xml:space="preserve"> damage advisor-recipient relationship</w:t>
      </w:r>
      <w:r w:rsidR="002B2816" w:rsidRPr="001E52FE">
        <w:t>s</w:t>
      </w:r>
      <w:r w:rsidR="00DC617D" w:rsidRPr="001E52FE">
        <w:t xml:space="preserve"> (</w:t>
      </w:r>
      <w:r w:rsidR="004C257D" w:rsidRPr="001E52FE">
        <w:t>Goldsmith, 2004; Goldsmith &amp; Fitch, 1997</w:t>
      </w:r>
      <w:r w:rsidR="005E3996" w:rsidRPr="001E52FE">
        <w:t>)</w:t>
      </w:r>
      <w:r w:rsidR="00C8168A" w:rsidRPr="001E52FE">
        <w:t xml:space="preserve">. </w:t>
      </w:r>
      <w:r w:rsidR="002B2816" w:rsidRPr="001E52FE">
        <w:t>These v</w:t>
      </w:r>
      <w:r w:rsidR="003978FE" w:rsidRPr="001E52FE">
        <w:t>ariable outcomes of</w:t>
      </w:r>
      <w:r w:rsidR="002E6A18" w:rsidRPr="001E52FE">
        <w:t xml:space="preserve"> advising interactions</w:t>
      </w:r>
      <w:r w:rsidR="00956B19">
        <w:t>,</w:t>
      </w:r>
      <w:r w:rsidR="00ED503E" w:rsidRPr="001E52FE">
        <w:t xml:space="preserve"> </w:t>
      </w:r>
      <w:r w:rsidR="002B2816" w:rsidRPr="001E52FE">
        <w:t>together with the ubiquity of advice</w:t>
      </w:r>
      <w:r w:rsidR="00631D01" w:rsidRPr="001E52FE">
        <w:t xml:space="preserve"> in interpersonal relationship</w:t>
      </w:r>
      <w:r w:rsidR="00532B4E" w:rsidRPr="001E52FE">
        <w:t>s</w:t>
      </w:r>
      <w:r w:rsidR="00956B19">
        <w:t>,</w:t>
      </w:r>
      <w:r w:rsidR="00515A4F" w:rsidRPr="001E52FE">
        <w:t xml:space="preserve"> </w:t>
      </w:r>
      <w:r w:rsidR="00274CC1" w:rsidRPr="001E52FE">
        <w:t>spurred the creation of Advice Response Theory (</w:t>
      </w:r>
      <w:r w:rsidR="004D5DC1" w:rsidRPr="001E52FE">
        <w:t xml:space="preserve">ART; </w:t>
      </w:r>
      <w:r w:rsidR="00B22951" w:rsidRPr="001E52FE">
        <w:t>Feng &amp; MacGeorge, 2010</w:t>
      </w:r>
      <w:r w:rsidR="003978FE" w:rsidRPr="001E52FE">
        <w:t>; Ma</w:t>
      </w:r>
      <w:r w:rsidR="00A552F7" w:rsidRPr="001E52FE">
        <w:t>cGeorge, Guntzviller, Hanasono</w:t>
      </w:r>
      <w:r w:rsidR="003978FE" w:rsidRPr="001E52FE">
        <w:t>,</w:t>
      </w:r>
      <w:r w:rsidR="007E5492" w:rsidRPr="001E52FE">
        <w:t xml:space="preserve"> &amp; Feng,</w:t>
      </w:r>
      <w:r w:rsidR="003978FE" w:rsidRPr="001E52FE">
        <w:t xml:space="preserve"> 2016</w:t>
      </w:r>
      <w:r w:rsidR="00B22951" w:rsidRPr="001E52FE">
        <w:t>)</w:t>
      </w:r>
      <w:r w:rsidR="00A762B2" w:rsidRPr="001E52FE">
        <w:t xml:space="preserve">. </w:t>
      </w:r>
      <w:r w:rsidR="006A5BFE">
        <w:t>ART</w:t>
      </w:r>
      <w:r w:rsidR="002B2816" w:rsidRPr="001E52FE">
        <w:t xml:space="preserve"> </w:t>
      </w:r>
      <w:r w:rsidR="00AA0DCC" w:rsidRPr="001E52FE">
        <w:t xml:space="preserve">posits </w:t>
      </w:r>
      <w:r w:rsidR="002B2816" w:rsidRPr="001E52FE">
        <w:t xml:space="preserve">that </w:t>
      </w:r>
      <w:r w:rsidR="00AA0DCC" w:rsidRPr="001E52FE">
        <w:t xml:space="preserve">individuals receiving advice evaluate </w:t>
      </w:r>
      <w:r w:rsidR="00FC4CAB" w:rsidRPr="001E52FE">
        <w:t xml:space="preserve">its </w:t>
      </w:r>
      <w:r w:rsidR="00836680" w:rsidRPr="001E52FE">
        <w:t xml:space="preserve">implications for </w:t>
      </w:r>
      <w:r w:rsidR="00683B7C">
        <w:t xml:space="preserve">their </w:t>
      </w:r>
      <w:r w:rsidR="00836680" w:rsidRPr="001E52FE">
        <w:t xml:space="preserve">identity (i.e., politeness) and </w:t>
      </w:r>
      <w:r w:rsidR="00C86E59">
        <w:t xml:space="preserve">evaluate </w:t>
      </w:r>
      <w:r w:rsidR="00B22541">
        <w:t xml:space="preserve">the advice </w:t>
      </w:r>
      <w:r w:rsidR="00FC4CAB" w:rsidRPr="001E52FE">
        <w:t>content</w:t>
      </w:r>
      <w:r w:rsidR="00AA0DCC" w:rsidRPr="001E52FE">
        <w:t xml:space="preserve">, </w:t>
      </w:r>
      <w:r w:rsidR="00A762B2" w:rsidRPr="001E52FE">
        <w:t>along with characteristics of the advisor and the problem—</w:t>
      </w:r>
      <w:r w:rsidR="00AA0DCC" w:rsidRPr="001E52FE">
        <w:t xml:space="preserve">and </w:t>
      </w:r>
      <w:r w:rsidR="00A762B2" w:rsidRPr="001E52FE">
        <w:t xml:space="preserve">that </w:t>
      </w:r>
      <w:r w:rsidR="00AA0DCC" w:rsidRPr="001E52FE">
        <w:t>these evaluations</w:t>
      </w:r>
      <w:r w:rsidR="00956B19">
        <w:t>,</w:t>
      </w:r>
      <w:r w:rsidR="00AA0DCC" w:rsidRPr="001E52FE">
        <w:t xml:space="preserve"> </w:t>
      </w:r>
      <w:r w:rsidR="00FC4CAB" w:rsidRPr="001E52FE">
        <w:t>in turn</w:t>
      </w:r>
      <w:r w:rsidR="00956B19">
        <w:t>,</w:t>
      </w:r>
      <w:r w:rsidR="00FC4CAB" w:rsidRPr="001E52FE">
        <w:t xml:space="preserve"> </w:t>
      </w:r>
      <w:r w:rsidR="00AA0DCC" w:rsidRPr="001E52FE">
        <w:t>i</w:t>
      </w:r>
      <w:r w:rsidR="00FF4755" w:rsidRPr="001E52FE">
        <w:t xml:space="preserve">nfluence </w:t>
      </w:r>
      <w:r w:rsidR="00FC4CAB" w:rsidRPr="001E52FE">
        <w:t>relevant perceptions</w:t>
      </w:r>
      <w:r w:rsidR="00A762B2" w:rsidRPr="001E52FE">
        <w:t xml:space="preserve"> and outcomes</w:t>
      </w:r>
      <w:r w:rsidR="00FC4CAB" w:rsidRPr="001E52FE">
        <w:t>, including advice quality, coping capacity, and intention to implement the advised action</w:t>
      </w:r>
      <w:r w:rsidR="00AA0DCC" w:rsidRPr="001E52FE">
        <w:t xml:space="preserve"> (MacGeorge, </w:t>
      </w:r>
      <w:r w:rsidR="00641419" w:rsidRPr="001E52FE">
        <w:t>Guntzviller, Hanasono</w:t>
      </w:r>
      <w:r w:rsidR="0039710D" w:rsidRPr="001E52FE">
        <w:t xml:space="preserve"> et al.</w:t>
      </w:r>
      <w:r w:rsidR="00641419" w:rsidRPr="001E52FE">
        <w:t xml:space="preserve">, </w:t>
      </w:r>
      <w:r w:rsidR="00AA0DCC" w:rsidRPr="001E52FE">
        <w:t>2016).</w:t>
      </w:r>
    </w:p>
    <w:p w14:paraId="1027C7DC" w14:textId="56DD4DC6" w:rsidR="006F5F8A" w:rsidRPr="001E52FE" w:rsidRDefault="00A762B2" w:rsidP="00956B19">
      <w:pPr>
        <w:spacing w:line="480" w:lineRule="auto"/>
        <w:ind w:firstLine="720"/>
        <w:rPr>
          <w:szCs w:val="24"/>
        </w:rPr>
      </w:pPr>
      <w:bookmarkStart w:id="1" w:name="_Hlk484523339"/>
      <w:r w:rsidRPr="001E52FE">
        <w:t xml:space="preserve">With established support for the basic theoretical premises of ART, </w:t>
      </w:r>
      <w:r w:rsidR="0035006B" w:rsidRPr="001E52FE">
        <w:t xml:space="preserve">scholarly </w:t>
      </w:r>
      <w:r w:rsidRPr="001E52FE">
        <w:t xml:space="preserve">attention </w:t>
      </w:r>
      <w:r w:rsidR="0035006B" w:rsidRPr="001E52FE">
        <w:t xml:space="preserve">has </w:t>
      </w:r>
      <w:r w:rsidRPr="001E52FE">
        <w:t xml:space="preserve">begun shifting to expansion of </w:t>
      </w:r>
      <w:r w:rsidR="00956B19">
        <w:t xml:space="preserve">its </w:t>
      </w:r>
      <w:r w:rsidR="004A01D2" w:rsidRPr="001E52FE">
        <w:t xml:space="preserve">theoretical </w:t>
      </w:r>
      <w:r w:rsidR="00854ABF" w:rsidRPr="001E52FE">
        <w:t xml:space="preserve">scope </w:t>
      </w:r>
      <w:r w:rsidRPr="001E52FE">
        <w:t>(Guntzviller, Ratcliff, Dorsch, &amp; Osai, 2016; MacGeorge, Smith, Caldes, &amp; Hackman, 2016</w:t>
      </w:r>
      <w:r w:rsidR="00F91146" w:rsidRPr="001E52FE">
        <w:t>)</w:t>
      </w:r>
      <w:r w:rsidR="0070630B">
        <w:t xml:space="preserve">. Scholars call for ART extensions </w:t>
      </w:r>
      <w:r w:rsidR="000D4266" w:rsidRPr="001E52FE">
        <w:t xml:space="preserve">beyond its message- and recipient-focus </w:t>
      </w:r>
      <w:r w:rsidR="006F5F8A" w:rsidRPr="001E52FE">
        <w:t xml:space="preserve">so that it </w:t>
      </w:r>
      <w:r w:rsidR="00956B19">
        <w:t>can further</w:t>
      </w:r>
      <w:r w:rsidR="006F5F8A" w:rsidRPr="001E52FE">
        <w:t xml:space="preserve"> explain </w:t>
      </w:r>
      <w:r w:rsidR="000D4266" w:rsidRPr="001E52FE">
        <w:t>how advice functions within ongoing relationships and in supportive interactions</w:t>
      </w:r>
      <w:r w:rsidR="0072333B" w:rsidRPr="001E52FE">
        <w:t xml:space="preserve"> (MacGeorge, Feng et al., 2016)</w:t>
      </w:r>
      <w:r w:rsidR="000D4266" w:rsidRPr="001E52FE">
        <w:t xml:space="preserve">. </w:t>
      </w:r>
      <w:r w:rsidR="0072333B" w:rsidRPr="001E52FE">
        <w:t xml:space="preserve">Indeed, </w:t>
      </w:r>
      <w:r w:rsidR="006F5F8A" w:rsidRPr="001E52FE">
        <w:t xml:space="preserve">recent research stresses the unique role and perspective of the advisor </w:t>
      </w:r>
      <w:r w:rsidR="006F5F8A" w:rsidRPr="001E52FE">
        <w:rPr>
          <w:szCs w:val="24"/>
        </w:rPr>
        <w:t>(Guntzviller &amp; MacGeorge, 2013; Shi, 2013)</w:t>
      </w:r>
      <w:r w:rsidR="006F5F8A" w:rsidRPr="001E52FE">
        <w:t xml:space="preserve"> and the multiplicity of relational factors that affect advice </w:t>
      </w:r>
      <w:r w:rsidR="006F5F8A" w:rsidRPr="001E52FE">
        <w:lastRenderedPageBreak/>
        <w:t xml:space="preserve">outcomes for both advisors and recipients </w:t>
      </w:r>
      <w:r w:rsidR="006F5F8A" w:rsidRPr="001E52FE">
        <w:rPr>
          <w:szCs w:val="24"/>
        </w:rPr>
        <w:t>(</w:t>
      </w:r>
      <w:r w:rsidR="00956B19" w:rsidRPr="001E52FE">
        <w:rPr>
          <w:szCs w:val="24"/>
        </w:rPr>
        <w:t>Feng &amp; Magen, 2016</w:t>
      </w:r>
      <w:r w:rsidR="00956B19">
        <w:rPr>
          <w:szCs w:val="24"/>
        </w:rPr>
        <w:t xml:space="preserve">; </w:t>
      </w:r>
      <w:r w:rsidR="006F5F8A" w:rsidRPr="001E52FE">
        <w:rPr>
          <w:szCs w:val="24"/>
        </w:rPr>
        <w:t xml:space="preserve">Guntzviller </w:t>
      </w:r>
      <w:r w:rsidR="005F3799">
        <w:rPr>
          <w:szCs w:val="24"/>
        </w:rPr>
        <w:t>et al., 2016</w:t>
      </w:r>
      <w:r w:rsidR="006F5F8A" w:rsidRPr="001E52FE">
        <w:rPr>
          <w:szCs w:val="24"/>
        </w:rPr>
        <w:t>)</w:t>
      </w:r>
      <w:r w:rsidR="006F5F8A" w:rsidRPr="001E52FE">
        <w:t xml:space="preserve">. </w:t>
      </w:r>
      <w:r w:rsidR="00956B19">
        <w:t>Moreover</w:t>
      </w:r>
      <w:r w:rsidR="006F5F8A" w:rsidRPr="001E52FE">
        <w:t xml:space="preserve">, </w:t>
      </w:r>
      <w:r w:rsidR="0072333B" w:rsidRPr="001E52FE">
        <w:t>s</w:t>
      </w:r>
      <w:r w:rsidR="0072333B" w:rsidRPr="001E52FE">
        <w:rPr>
          <w:szCs w:val="24"/>
        </w:rPr>
        <w:t>upportive communication theorists increasingly emphasize the interactional nature of social support, observing how process</w:t>
      </w:r>
      <w:r w:rsidR="00481197">
        <w:rPr>
          <w:szCs w:val="24"/>
        </w:rPr>
        <w:t>es</w:t>
      </w:r>
      <w:r w:rsidR="0072333B" w:rsidRPr="001E52FE">
        <w:rPr>
          <w:szCs w:val="24"/>
        </w:rPr>
        <w:t xml:space="preserve"> and outcome</w:t>
      </w:r>
      <w:r w:rsidR="00481197">
        <w:rPr>
          <w:szCs w:val="24"/>
        </w:rPr>
        <w:t>s</w:t>
      </w:r>
      <w:r w:rsidR="0072333B" w:rsidRPr="001E52FE">
        <w:rPr>
          <w:szCs w:val="24"/>
        </w:rPr>
        <w:t xml:space="preserve"> for recipients and providers are dependent on both parties’ behaviors and evaluations (High &amp; Solomon, 2014; Jones &amp; Bod</w:t>
      </w:r>
      <w:r w:rsidR="003F5A9D">
        <w:rPr>
          <w:szCs w:val="24"/>
        </w:rPr>
        <w:t>ie, 2014</w:t>
      </w:r>
      <w:r w:rsidR="0072333B" w:rsidRPr="001E52FE">
        <w:rPr>
          <w:szCs w:val="24"/>
        </w:rPr>
        <w:t xml:space="preserve">). </w:t>
      </w:r>
      <w:r w:rsidR="00EC583F" w:rsidRPr="001E52FE">
        <w:rPr>
          <w:szCs w:val="24"/>
        </w:rPr>
        <w:t xml:space="preserve">Expanding advice theorizing to incorporate these elements allows for </w:t>
      </w:r>
      <w:r w:rsidR="00956B19">
        <w:rPr>
          <w:szCs w:val="24"/>
        </w:rPr>
        <w:t xml:space="preserve">a </w:t>
      </w:r>
      <w:r w:rsidR="00EC583F" w:rsidRPr="001E52FE">
        <w:rPr>
          <w:szCs w:val="24"/>
        </w:rPr>
        <w:t xml:space="preserve">more holistic understanding of </w:t>
      </w:r>
      <w:r w:rsidR="009D1561" w:rsidRPr="001E52FE">
        <w:rPr>
          <w:szCs w:val="24"/>
        </w:rPr>
        <w:t>advice processes and outcomes</w:t>
      </w:r>
      <w:r w:rsidR="00EC583F" w:rsidRPr="001E52FE">
        <w:rPr>
          <w:szCs w:val="24"/>
        </w:rPr>
        <w:t>.</w:t>
      </w:r>
    </w:p>
    <w:bookmarkEnd w:id="1"/>
    <w:p w14:paraId="70047242" w14:textId="06D9BE27" w:rsidR="001E0BB1" w:rsidRPr="001E52FE" w:rsidRDefault="008F5158" w:rsidP="00FC2F58">
      <w:pPr>
        <w:spacing w:line="480" w:lineRule="auto"/>
        <w:ind w:firstLine="720"/>
      </w:pPr>
      <w:r w:rsidRPr="001E52FE">
        <w:rPr>
          <w:szCs w:val="24"/>
        </w:rPr>
        <w:t xml:space="preserve">Accordingly, we merge </w:t>
      </w:r>
      <w:r w:rsidR="005347D1" w:rsidRPr="001E52FE">
        <w:t xml:space="preserve">ART propositions with those derived from </w:t>
      </w:r>
      <w:r w:rsidRPr="001E52FE">
        <w:t>theories of relationships and supportive communication</w:t>
      </w:r>
      <w:r w:rsidR="005347D1" w:rsidRPr="001E52FE">
        <w:t xml:space="preserve"> to test: (a) how </w:t>
      </w:r>
      <w:r w:rsidRPr="001E52FE">
        <w:t>multiple dimensions of relationships</w:t>
      </w:r>
      <w:r w:rsidR="005347D1" w:rsidRPr="001E52FE">
        <w:t xml:space="preserve"> </w:t>
      </w:r>
      <w:r w:rsidR="00950A5A" w:rsidRPr="001E52FE">
        <w:t xml:space="preserve">(partner characteristics, interdependence, closeness, and past received support) </w:t>
      </w:r>
      <w:r w:rsidR="005347D1" w:rsidRPr="001E52FE">
        <w:t>impact perceptions of advice</w:t>
      </w:r>
      <w:r w:rsidRPr="001E52FE">
        <w:t xml:space="preserve"> quality</w:t>
      </w:r>
      <w:r w:rsidR="005347D1" w:rsidRPr="001E52FE">
        <w:t xml:space="preserve">, (b) how </w:t>
      </w:r>
      <w:r w:rsidRPr="001E52FE">
        <w:t>perceived advice quality</w:t>
      </w:r>
      <w:r w:rsidR="005347D1" w:rsidRPr="001E52FE">
        <w:t xml:space="preserve"> </w:t>
      </w:r>
      <w:r w:rsidRPr="001E52FE">
        <w:t xml:space="preserve">influences holistic satisfaction with the conversation, and </w:t>
      </w:r>
      <w:r w:rsidR="005347D1" w:rsidRPr="001E52FE">
        <w:t xml:space="preserve">(c) how this process unfolds </w:t>
      </w:r>
      <w:r w:rsidR="001E0BB1" w:rsidRPr="001E52FE">
        <w:t>dyadically (incorporating both advisor and recipient perspectives)</w:t>
      </w:r>
      <w:r w:rsidR="005347D1" w:rsidRPr="001E52FE">
        <w:t>.</w:t>
      </w:r>
      <w:r w:rsidRPr="001E52FE">
        <w:t xml:space="preserve"> We test our hypotheses with data obtained </w:t>
      </w:r>
      <w:r w:rsidR="001E0BB1" w:rsidRPr="001E52FE">
        <w:t xml:space="preserve">before and immediately after </w:t>
      </w:r>
      <w:r w:rsidRPr="001E52FE">
        <w:t>interaction</w:t>
      </w:r>
      <w:r w:rsidR="001E0BB1" w:rsidRPr="001E52FE">
        <w:t xml:space="preserve">s between college student friends discussing a current stressor. The </w:t>
      </w:r>
      <w:r w:rsidR="00703965">
        <w:t>present</w:t>
      </w:r>
      <w:r w:rsidR="001E0BB1" w:rsidRPr="001E52FE">
        <w:t xml:space="preserve"> study thus advances ART toward a more relational, interactive, and dyadic position on advice, and provides practical </w:t>
      </w:r>
      <w:r w:rsidR="00950A5A" w:rsidRPr="001E52FE">
        <w:t>insight</w:t>
      </w:r>
      <w:r w:rsidR="001E0BB1" w:rsidRPr="001E52FE">
        <w:t xml:space="preserve"> for advisors and recipients, especially </w:t>
      </w:r>
      <w:r w:rsidR="000E547A" w:rsidRPr="001E52FE">
        <w:t>regarding</w:t>
      </w:r>
      <w:r w:rsidR="001E0BB1" w:rsidRPr="001E52FE">
        <w:t xml:space="preserve"> </w:t>
      </w:r>
      <w:r w:rsidR="004B3271" w:rsidRPr="001E52FE">
        <w:t xml:space="preserve">how </w:t>
      </w:r>
      <w:r w:rsidR="00950A5A" w:rsidRPr="001E52FE">
        <w:t>r</w:t>
      </w:r>
      <w:r w:rsidR="004B3271" w:rsidRPr="001E52FE">
        <w:t xml:space="preserve">elationships may influence advice outcomes </w:t>
      </w:r>
      <w:r w:rsidR="006C43FD" w:rsidRPr="001E52FE">
        <w:t>for both</w:t>
      </w:r>
      <w:r w:rsidR="00950A5A" w:rsidRPr="001E52FE">
        <w:t xml:space="preserve"> advisors and recipients.</w:t>
      </w:r>
    </w:p>
    <w:p w14:paraId="75A04808" w14:textId="77777777" w:rsidR="00EF7618" w:rsidRPr="001E52FE" w:rsidRDefault="00EF7618" w:rsidP="00FC2F58">
      <w:pPr>
        <w:spacing w:line="480" w:lineRule="auto"/>
        <w:rPr>
          <w:b/>
        </w:rPr>
      </w:pPr>
      <w:r w:rsidRPr="001E52FE">
        <w:rPr>
          <w:b/>
        </w:rPr>
        <w:t>Relational Assessments and Advice Quality</w:t>
      </w:r>
    </w:p>
    <w:p w14:paraId="44D7BFA6" w14:textId="74E1BC13" w:rsidR="00C067B5" w:rsidRDefault="00460A0A" w:rsidP="00956B19">
      <w:pPr>
        <w:spacing w:line="480" w:lineRule="auto"/>
        <w:ind w:firstLine="720"/>
      </w:pPr>
      <w:r w:rsidRPr="001E52FE">
        <w:t xml:space="preserve">ART contends that </w:t>
      </w:r>
      <w:r w:rsidR="00214D4A" w:rsidRPr="001E52FE">
        <w:t>recipients’ perceptions of advice messages are influenced by their perceptions of the advisor</w:t>
      </w:r>
      <w:r w:rsidR="00DD47A6" w:rsidRPr="001E52FE">
        <w:t>.</w:t>
      </w:r>
      <w:r w:rsidR="00214D4A" w:rsidRPr="001E52FE">
        <w:t xml:space="preserve"> </w:t>
      </w:r>
      <w:r w:rsidR="00DD47A6" w:rsidRPr="001E52FE">
        <w:t>S</w:t>
      </w:r>
      <w:r w:rsidR="00214D4A" w:rsidRPr="001E52FE">
        <w:t xml:space="preserve">pecifically, </w:t>
      </w:r>
      <w:r w:rsidRPr="001E52FE">
        <w:t xml:space="preserve">perceiving advisors as more likeable, similar, </w:t>
      </w:r>
      <w:r w:rsidR="002E21EB" w:rsidRPr="001E52FE">
        <w:t xml:space="preserve">or trustworthy </w:t>
      </w:r>
      <w:r w:rsidRPr="001E52FE">
        <w:t xml:space="preserve">makes advice messages more </w:t>
      </w:r>
      <w:r w:rsidR="00C110E1" w:rsidRPr="001E52FE">
        <w:t xml:space="preserve">supportive and </w:t>
      </w:r>
      <w:r w:rsidRPr="001E52FE">
        <w:t>persuasive to recipients (</w:t>
      </w:r>
      <w:r w:rsidR="00956B19" w:rsidRPr="001E52FE">
        <w:t>Bonaccio &amp; Dalal, 2006</w:t>
      </w:r>
      <w:r w:rsidR="00956B19">
        <w:t xml:space="preserve">; </w:t>
      </w:r>
      <w:r w:rsidRPr="001E52FE">
        <w:t xml:space="preserve">MacGeorge, Guntzviller, Hanasono et al., 2016). Within the ART framework, </w:t>
      </w:r>
      <w:r w:rsidR="00F54A34">
        <w:t>these</w:t>
      </w:r>
      <w:r w:rsidR="00C110E1" w:rsidRPr="001E52FE">
        <w:t xml:space="preserve"> </w:t>
      </w:r>
      <w:r w:rsidR="00F54A34" w:rsidRPr="001E52FE">
        <w:t xml:space="preserve">advisor </w:t>
      </w:r>
      <w:r w:rsidR="00C110E1" w:rsidRPr="001E52FE">
        <w:t xml:space="preserve">qualities </w:t>
      </w:r>
      <w:r w:rsidRPr="001E52FE">
        <w:t xml:space="preserve">have been conceptualized and examined as a group and termed </w:t>
      </w:r>
      <w:r w:rsidRPr="001E52FE">
        <w:rPr>
          <w:i/>
        </w:rPr>
        <w:t>advisor characteristics</w:t>
      </w:r>
      <w:r w:rsidRPr="001E52FE">
        <w:t xml:space="preserve">. </w:t>
      </w:r>
      <w:r w:rsidR="000B2825" w:rsidRPr="001E52FE">
        <w:t>Recipient perceptions of a</w:t>
      </w:r>
      <w:r w:rsidRPr="001E52FE">
        <w:t xml:space="preserve">dvisor characteristics affect advice quality </w:t>
      </w:r>
      <w:r w:rsidR="00261FA5" w:rsidRPr="001E52FE">
        <w:t xml:space="preserve">ratings </w:t>
      </w:r>
      <w:r w:rsidRPr="001E52FE">
        <w:lastRenderedPageBreak/>
        <w:t xml:space="preserve">directly and indirectly, through their influence on </w:t>
      </w:r>
      <w:r w:rsidR="009D355C" w:rsidRPr="001E52FE">
        <w:t>message evaluations</w:t>
      </w:r>
      <w:r w:rsidRPr="001E52FE">
        <w:t xml:space="preserve"> (Feng &amp; Feng, 2013; Feng &amp; MacGeorge, 2010; MacGeorge et al., 2004). Specifically, more positive recipient perceptions of advisor characteristics (i.e., liking, similarity, and trust) produce </w:t>
      </w:r>
      <w:r w:rsidR="00E27D4A" w:rsidRPr="001E52FE">
        <w:t xml:space="preserve">more positive </w:t>
      </w:r>
      <w:r w:rsidR="009D355C" w:rsidRPr="001E52FE">
        <w:t>evaluations of advice content and politeness</w:t>
      </w:r>
      <w:r w:rsidR="00083181" w:rsidRPr="001E52FE">
        <w:t xml:space="preserve"> (</w:t>
      </w:r>
      <w:r w:rsidR="000268B0" w:rsidRPr="001E52FE">
        <w:t>MacGeorge, Guntzviller, Hanasono et al., 2016</w:t>
      </w:r>
      <w:r w:rsidR="00556680" w:rsidRPr="001E52FE">
        <w:t>)</w:t>
      </w:r>
      <w:r w:rsidRPr="001E52FE">
        <w:t xml:space="preserve">. </w:t>
      </w:r>
      <w:r w:rsidR="00AF378F" w:rsidRPr="001E52FE">
        <w:t xml:space="preserve">Recently, several studies have suggested that </w:t>
      </w:r>
      <w:r w:rsidR="0095466E" w:rsidRPr="001E52FE">
        <w:t>ART’s</w:t>
      </w:r>
      <w:r w:rsidR="006A7458" w:rsidRPr="001E52FE">
        <w:t xml:space="preserve"> </w:t>
      </w:r>
      <w:r w:rsidR="00AF378F" w:rsidRPr="001E52FE">
        <w:t>proposition about advisor characteristics</w:t>
      </w:r>
      <w:r w:rsidR="0095466E" w:rsidRPr="001E52FE">
        <w:t xml:space="preserve"> </w:t>
      </w:r>
      <w:r w:rsidR="002B2816" w:rsidRPr="001E52FE">
        <w:t>should be</w:t>
      </w:r>
      <w:r w:rsidR="0095466E" w:rsidRPr="001E52FE">
        <w:t xml:space="preserve"> extended to </w:t>
      </w:r>
      <w:r w:rsidR="00AF378F" w:rsidRPr="001E52FE">
        <w:t xml:space="preserve">incorporate a broader range of </w:t>
      </w:r>
      <w:r w:rsidR="00AF378F" w:rsidRPr="001E52FE">
        <w:rPr>
          <w:i/>
        </w:rPr>
        <w:t>relational assessments</w:t>
      </w:r>
      <w:r w:rsidR="00AF378F" w:rsidRPr="001E52FE">
        <w:t xml:space="preserve"> </w:t>
      </w:r>
      <w:r w:rsidR="0095466E" w:rsidRPr="001E52FE">
        <w:t>(</w:t>
      </w:r>
      <w:r w:rsidR="00F33C93" w:rsidRPr="001E52FE">
        <w:t>Carlson, 2016</w:t>
      </w:r>
      <w:r w:rsidR="00195C89" w:rsidRPr="001E52FE">
        <w:t xml:space="preserve">; Guntzviller et al., </w:t>
      </w:r>
      <w:r w:rsidR="00725CD2" w:rsidRPr="001E52FE">
        <w:t>2016</w:t>
      </w:r>
      <w:r w:rsidR="0095466E" w:rsidRPr="001E52FE">
        <w:t>)</w:t>
      </w:r>
      <w:r w:rsidR="00D77A20" w:rsidRPr="001E52FE">
        <w:t xml:space="preserve">. </w:t>
      </w:r>
      <w:r w:rsidR="000D1F15" w:rsidRPr="001E52FE">
        <w:t xml:space="preserve">Indeed, supportive communication theory and research indicate that discrete supportive behaviors such as advice, comforting, or tangible support are routinely </w:t>
      </w:r>
      <w:r w:rsidR="006928B9" w:rsidRPr="001E52FE">
        <w:t>interpreted in the broader context of advisor-recipient interactions and relationships (Goldsmith, 2004; High &amp; Solomon, 2014; Priem, Solomon, &amp; Steuber, 2009)</w:t>
      </w:r>
      <w:r w:rsidR="000D1F15" w:rsidRPr="001E52FE">
        <w:t>.</w:t>
      </w:r>
      <w:r w:rsidR="00CB5CF5" w:rsidRPr="001E52FE">
        <w:t xml:space="preserve"> </w:t>
      </w:r>
    </w:p>
    <w:p w14:paraId="7230D9E6" w14:textId="7BEBC4B9" w:rsidR="00BB590B" w:rsidRPr="001E52FE" w:rsidRDefault="00A24F7B" w:rsidP="00FC2F58">
      <w:pPr>
        <w:spacing w:line="480" w:lineRule="auto"/>
        <w:ind w:firstLine="720"/>
      </w:pPr>
      <w:r w:rsidRPr="001E52FE">
        <w:t>In addition to advisor characteristics, t</w:t>
      </w:r>
      <w:r w:rsidR="00AF378F" w:rsidRPr="001E52FE">
        <w:t xml:space="preserve">hree relational </w:t>
      </w:r>
      <w:r w:rsidR="000D1F15" w:rsidRPr="001E52FE">
        <w:t>assessments</w:t>
      </w:r>
      <w:r w:rsidR="00AF378F" w:rsidRPr="001E52FE">
        <w:t xml:space="preserve">—closeness, </w:t>
      </w:r>
      <w:r w:rsidR="000D1F15" w:rsidRPr="001E52FE">
        <w:t xml:space="preserve">interdependence, </w:t>
      </w:r>
      <w:r w:rsidR="00AF378F" w:rsidRPr="001E52FE">
        <w:t>and past support—seem especially likely to influence how advice is evaluated</w:t>
      </w:r>
      <w:r w:rsidR="000D1F15" w:rsidRPr="001E52FE">
        <w:t xml:space="preserve">. </w:t>
      </w:r>
      <w:r w:rsidR="00F30C65" w:rsidRPr="001E52FE">
        <w:rPr>
          <w:i/>
        </w:rPr>
        <w:t>Interdependence</w:t>
      </w:r>
      <w:r w:rsidR="00F30C65" w:rsidRPr="001E52FE">
        <w:t>—the degree to which partners influence each other’s routine, engage in mutual behaviors and activities, and help facilitate partner goals (Knobloch &amp; Solomon, 2003; Solomon &amp; Knobloch, 2001)—</w:t>
      </w:r>
      <w:r w:rsidR="007444F8" w:rsidRPr="001E52FE">
        <w:t>may positively impact perceptions of advice</w:t>
      </w:r>
      <w:r w:rsidR="00F30C65" w:rsidRPr="001E52FE">
        <w:t xml:space="preserve">. </w:t>
      </w:r>
      <w:r w:rsidR="007B5C66" w:rsidRPr="001E52FE">
        <w:t xml:space="preserve">Advisors who are more interdependent may have greater knowledge about actions that are relevant and feasible for the recipient, allowing the advisor to produce objectively higher-quality advice, which is recognized as such by recipients. </w:t>
      </w:r>
      <w:r w:rsidR="00573838" w:rsidRPr="001E52FE">
        <w:t>Even if the advice is not objectively higher quality,</w:t>
      </w:r>
      <w:r w:rsidR="007B5C66" w:rsidRPr="001E52FE">
        <w:t xml:space="preserve"> </w:t>
      </w:r>
      <w:r w:rsidR="00573838" w:rsidRPr="001E52FE">
        <w:t xml:space="preserve">the relational closeness of interdependent partners </w:t>
      </w:r>
      <w:r w:rsidR="007B5C66" w:rsidRPr="001E52FE">
        <w:t>(Berscheid, 1983)</w:t>
      </w:r>
      <w:r w:rsidR="00573838" w:rsidRPr="001E52FE">
        <w:t xml:space="preserve"> </w:t>
      </w:r>
      <w:r w:rsidR="00B27D97" w:rsidRPr="001E52FE">
        <w:t>may</w:t>
      </w:r>
      <w:r w:rsidR="00AC6133" w:rsidRPr="001E52FE">
        <w:t xml:space="preserve"> positively</w:t>
      </w:r>
      <w:r w:rsidR="007B5C66" w:rsidRPr="001E52FE">
        <w:t xml:space="preserve"> bias</w:t>
      </w:r>
      <w:r w:rsidR="00573838" w:rsidRPr="001E52FE">
        <w:t xml:space="preserve"> recipients’ quality perceptions</w:t>
      </w:r>
      <w:r w:rsidR="007B5C66" w:rsidRPr="001E52FE">
        <w:t xml:space="preserve"> (Guntzviller et al., 2016). </w:t>
      </w:r>
      <w:r w:rsidR="000D1F15" w:rsidRPr="001E52FE">
        <w:t xml:space="preserve">Greater relational </w:t>
      </w:r>
      <w:r w:rsidR="000D1F15" w:rsidRPr="001E52FE">
        <w:rPr>
          <w:i/>
        </w:rPr>
        <w:t>closeness</w:t>
      </w:r>
      <w:r w:rsidR="000D1F15" w:rsidRPr="001E52FE">
        <w:t xml:space="preserve"> is associated with more positive perceptions of comforting behavior</w:t>
      </w:r>
      <w:r w:rsidR="009C2EA6" w:rsidRPr="001E52FE">
        <w:t xml:space="preserve"> (Young, 2004) and with greater receptivity to advice (Feng &amp; MacGeorge, 2006). </w:t>
      </w:r>
      <w:r w:rsidR="001C6343" w:rsidRPr="001E52FE">
        <w:rPr>
          <w:i/>
        </w:rPr>
        <w:t>Past support</w:t>
      </w:r>
      <w:r w:rsidR="001C6343" w:rsidRPr="001E52FE">
        <w:t xml:space="preserve"> may also influence advice evaluation</w:t>
      </w:r>
      <w:r w:rsidR="000F2887">
        <w:t>s</w:t>
      </w:r>
      <w:r w:rsidR="001C6343" w:rsidRPr="001E52FE">
        <w:t xml:space="preserve">. </w:t>
      </w:r>
      <w:r w:rsidR="00963D3E" w:rsidRPr="001E52FE">
        <w:t>As relationships develop over time, they</w:t>
      </w:r>
      <w:r w:rsidR="009078A5" w:rsidRPr="001E52FE">
        <w:t xml:space="preserve"> </w:t>
      </w:r>
      <w:r w:rsidR="0097008C" w:rsidRPr="001E52FE">
        <w:t xml:space="preserve">typically </w:t>
      </w:r>
      <w:r w:rsidR="009078A5" w:rsidRPr="001E52FE">
        <w:t>offer</w:t>
      </w:r>
      <w:r w:rsidR="0097008C" w:rsidRPr="001E52FE">
        <w:t xml:space="preserve"> recurring opportunities </w:t>
      </w:r>
      <w:r w:rsidR="009078A5" w:rsidRPr="001E52FE">
        <w:t>for giving and receiving support</w:t>
      </w:r>
      <w:r w:rsidR="009559F4" w:rsidRPr="001E52FE">
        <w:t xml:space="preserve"> </w:t>
      </w:r>
      <w:r w:rsidR="009559F4" w:rsidRPr="001E52FE">
        <w:lastRenderedPageBreak/>
        <w:t>(Thoits, 2011)</w:t>
      </w:r>
      <w:r w:rsidR="00241C06" w:rsidRPr="001E52FE">
        <w:t>, including a</w:t>
      </w:r>
      <w:r w:rsidR="00D64591" w:rsidRPr="001E52FE">
        <w:t>dvice and informational support along with</w:t>
      </w:r>
      <w:r w:rsidR="00241C06" w:rsidRPr="001E52FE">
        <w:t xml:space="preserve"> emotional support, esteem support, and network support (</w:t>
      </w:r>
      <w:r w:rsidR="009559F4" w:rsidRPr="001E52FE">
        <w:t xml:space="preserve">Xu &amp; Burleson, 2001). In relationships that have a more extensive history of prior support, </w:t>
      </w:r>
      <w:r w:rsidR="00FA26AF" w:rsidRPr="001E52FE">
        <w:t>advice is</w:t>
      </w:r>
      <w:r w:rsidR="000238F7" w:rsidRPr="001E52FE">
        <w:t xml:space="preserve"> expected</w:t>
      </w:r>
      <w:r w:rsidR="009559F4" w:rsidRPr="001E52FE">
        <w:t xml:space="preserve">, which should improve </w:t>
      </w:r>
      <w:r w:rsidR="000238F7" w:rsidRPr="001E52FE">
        <w:t>its evaluation</w:t>
      </w:r>
      <w:r w:rsidR="0061005E" w:rsidRPr="001E52FE">
        <w:t xml:space="preserve"> (Feng &amp; Magen, 2016</w:t>
      </w:r>
      <w:r w:rsidR="009C2EA6" w:rsidRPr="001E52FE">
        <w:t>)</w:t>
      </w:r>
      <w:r w:rsidR="000238F7" w:rsidRPr="001E52FE">
        <w:t xml:space="preserve">. </w:t>
      </w:r>
      <w:r w:rsidR="00963D3E" w:rsidRPr="001E52FE">
        <w:t xml:space="preserve">Further, advisors </w:t>
      </w:r>
      <w:r w:rsidR="000238F7" w:rsidRPr="001E52FE">
        <w:t xml:space="preserve">who have given more support </w:t>
      </w:r>
      <w:r w:rsidR="003E7A5F" w:rsidRPr="001E52FE">
        <w:t xml:space="preserve">to a particular recipient </w:t>
      </w:r>
      <w:r w:rsidR="000238F7" w:rsidRPr="001E52FE">
        <w:t>over time may have ways of tailoring their advice to be more</w:t>
      </w:r>
      <w:r w:rsidR="00963D3E" w:rsidRPr="001E52FE">
        <w:t xml:space="preserve"> beneficial and appealing to </w:t>
      </w:r>
      <w:r w:rsidR="00611495" w:rsidRPr="001E52FE">
        <w:t>that individual</w:t>
      </w:r>
      <w:r w:rsidR="00963D3E" w:rsidRPr="001E52FE">
        <w:t xml:space="preserve">. </w:t>
      </w:r>
      <w:r w:rsidR="001C6343" w:rsidRPr="001E52FE">
        <w:t>Overall</w:t>
      </w:r>
      <w:r w:rsidR="009078A5" w:rsidRPr="001E52FE">
        <w:t>, we</w:t>
      </w:r>
      <w:r w:rsidR="00293F83" w:rsidRPr="001E52FE">
        <w:t xml:space="preserve"> anticipate</w:t>
      </w:r>
      <w:r w:rsidR="001C6343" w:rsidRPr="001E52FE">
        <w:t>d</w:t>
      </w:r>
      <w:r w:rsidR="00293F83" w:rsidRPr="001E52FE">
        <w:t xml:space="preserve"> that</w:t>
      </w:r>
      <w:r w:rsidR="000F2887">
        <w:t xml:space="preserve"> relational assessments influence</w:t>
      </w:r>
      <w:r w:rsidR="00293F83" w:rsidRPr="001E52FE">
        <w:t xml:space="preserve"> recipients’ perceptions of advice quality </w:t>
      </w:r>
      <w:r w:rsidR="009078A5" w:rsidRPr="001E52FE">
        <w:t>in a particular interaction</w:t>
      </w:r>
      <w:r w:rsidR="000F2887">
        <w:t xml:space="preserve">. </w:t>
      </w:r>
      <w:r w:rsidR="00426ECA">
        <w:t>With this argument in mind, the first hypothesis is presented</w:t>
      </w:r>
      <w:r w:rsidR="007C2F62" w:rsidRPr="001E52FE">
        <w:t>:</w:t>
      </w:r>
    </w:p>
    <w:p w14:paraId="57244BA2" w14:textId="77777777" w:rsidR="00A47B45" w:rsidRPr="001E52FE" w:rsidRDefault="00A47B45" w:rsidP="00FC2F58">
      <w:pPr>
        <w:spacing w:line="480" w:lineRule="auto"/>
        <w:ind w:left="720"/>
      </w:pPr>
      <w:r w:rsidRPr="001E52FE">
        <w:rPr>
          <w:b/>
        </w:rPr>
        <w:t xml:space="preserve">H1: </w:t>
      </w:r>
      <w:r w:rsidRPr="001E52FE">
        <w:t xml:space="preserve">Higher recipient relational assessments </w:t>
      </w:r>
      <w:r w:rsidR="005E544A" w:rsidRPr="001E52FE">
        <w:t xml:space="preserve">(i.e., </w:t>
      </w:r>
      <w:r w:rsidRPr="001E52FE">
        <w:t xml:space="preserve">advisor characteristics, interdependence, </w:t>
      </w:r>
      <w:r w:rsidR="00244537" w:rsidRPr="001E52FE">
        <w:t xml:space="preserve">closeness, </w:t>
      </w:r>
      <w:r w:rsidRPr="001E52FE">
        <w:t>and past received</w:t>
      </w:r>
      <w:r w:rsidR="000238F7" w:rsidRPr="001E52FE">
        <w:t xml:space="preserve"> </w:t>
      </w:r>
      <w:r w:rsidRPr="001E52FE">
        <w:t>support from the advisor</w:t>
      </w:r>
      <w:r w:rsidR="005E544A" w:rsidRPr="001E52FE">
        <w:t>)</w:t>
      </w:r>
      <w:r w:rsidRPr="001E52FE">
        <w:t xml:space="preserve"> will </w:t>
      </w:r>
      <w:r w:rsidR="000238F7" w:rsidRPr="001E52FE">
        <w:t xml:space="preserve">be </w:t>
      </w:r>
      <w:r w:rsidRPr="001E52FE">
        <w:t>associated with higher recipient advice quality ratings.</w:t>
      </w:r>
    </w:p>
    <w:p w14:paraId="26766217" w14:textId="77777777" w:rsidR="000E6A15" w:rsidRPr="001E52FE" w:rsidRDefault="003A6903" w:rsidP="00FC2F58">
      <w:pPr>
        <w:spacing w:line="480" w:lineRule="auto"/>
      </w:pPr>
      <w:r w:rsidRPr="001E52FE">
        <w:rPr>
          <w:b/>
        </w:rPr>
        <w:t xml:space="preserve">Advice Quality </w:t>
      </w:r>
      <w:r w:rsidR="00B60535" w:rsidRPr="001E52FE">
        <w:rPr>
          <w:b/>
        </w:rPr>
        <w:t>and</w:t>
      </w:r>
      <w:r w:rsidRPr="001E52FE">
        <w:rPr>
          <w:b/>
        </w:rPr>
        <w:t xml:space="preserve"> Conversational Satisfaction</w:t>
      </w:r>
    </w:p>
    <w:p w14:paraId="269DD6D6" w14:textId="1EE6EDA3" w:rsidR="00A93486" w:rsidRPr="001E52FE" w:rsidRDefault="007C2F62" w:rsidP="00FC2F58">
      <w:pPr>
        <w:spacing w:line="480" w:lineRule="auto"/>
        <w:ind w:firstLine="720"/>
      </w:pPr>
      <w:r w:rsidRPr="001E52FE">
        <w:t xml:space="preserve">Research testing ART has typically focused on three </w:t>
      </w:r>
      <w:r w:rsidR="00FA26AF" w:rsidRPr="001E52FE">
        <w:t xml:space="preserve">advice-centric </w:t>
      </w:r>
      <w:r w:rsidRPr="001E52FE">
        <w:t>outcomes: advice quality, which is a global judgment about the behavior; coping facilitation</w:t>
      </w:r>
      <w:r w:rsidR="00DB4D51" w:rsidRPr="001E52FE">
        <w:t xml:space="preserve">, which focuses on </w:t>
      </w:r>
      <w:r w:rsidR="00757D78">
        <w:t>whether</w:t>
      </w:r>
      <w:r w:rsidR="00DB4D51" w:rsidRPr="001E52FE">
        <w:t xml:space="preserve"> advice supports recipients</w:t>
      </w:r>
      <w:r w:rsidR="008F7D8D" w:rsidRPr="001E52FE">
        <w:t>’</w:t>
      </w:r>
      <w:r w:rsidR="00DB4D51" w:rsidRPr="001E52FE">
        <w:t xml:space="preserve"> </w:t>
      </w:r>
      <w:r w:rsidR="008F7D8D" w:rsidRPr="001E52FE">
        <w:t>emotion- and problem-management</w:t>
      </w:r>
      <w:r w:rsidR="00DB4D51" w:rsidRPr="001E52FE">
        <w:t xml:space="preserve">; and implementation intention, which addresses </w:t>
      </w:r>
      <w:r w:rsidR="008F7D8D" w:rsidRPr="001E52FE">
        <w:t>the persuasive impact of advice</w:t>
      </w:r>
      <w:r w:rsidR="00D12424" w:rsidRPr="001E52FE">
        <w:t xml:space="preserve"> (MacGeorge, Feng et al., 2016)</w:t>
      </w:r>
      <w:r w:rsidR="00DB4D51" w:rsidRPr="001E52FE">
        <w:t>.</w:t>
      </w:r>
      <w:r w:rsidR="008F7D8D" w:rsidRPr="001E52FE">
        <w:t xml:space="preserve"> </w:t>
      </w:r>
      <w:r w:rsidR="00144D2B">
        <w:t xml:space="preserve">However, </w:t>
      </w:r>
      <w:r w:rsidR="00DB4D51" w:rsidRPr="001E52FE">
        <w:t xml:space="preserve">ART has had little to say about how advice influences </w:t>
      </w:r>
      <w:r w:rsidR="00426ECA">
        <w:t xml:space="preserve">the </w:t>
      </w:r>
      <w:r w:rsidR="00DB4D51" w:rsidRPr="001E52FE">
        <w:t xml:space="preserve">evaluation of the interaction in which it </w:t>
      </w:r>
      <w:r w:rsidR="008F7D8D" w:rsidRPr="001E52FE">
        <w:t>is given</w:t>
      </w:r>
      <w:r w:rsidR="00DB4D51" w:rsidRPr="001E52FE">
        <w:t xml:space="preserve">. </w:t>
      </w:r>
      <w:r w:rsidR="00333ECF" w:rsidRPr="001E52FE">
        <w:t xml:space="preserve">When advice messages are embedded in supportive interactions, they are typically accompanied by a variety of other advisor and recipient behaviors (e.g., </w:t>
      </w:r>
      <w:r w:rsidR="008610A2">
        <w:t>offers</w:t>
      </w:r>
      <w:r w:rsidR="00333ECF" w:rsidRPr="001E52FE">
        <w:t>, planning; Ma</w:t>
      </w:r>
      <w:r w:rsidR="008610A2">
        <w:t>cGeorge et al., 2015</w:t>
      </w:r>
      <w:r w:rsidR="00333ECF" w:rsidRPr="001E52FE">
        <w:t xml:space="preserve">). </w:t>
      </w:r>
      <w:r w:rsidR="00156934" w:rsidRPr="001E52FE">
        <w:t>Although all conversation behaviors</w:t>
      </w:r>
      <w:r w:rsidR="00333ECF" w:rsidRPr="001E52FE">
        <w:t xml:space="preserve"> presumably affect </w:t>
      </w:r>
      <w:r w:rsidR="00A93486" w:rsidRPr="001E52FE">
        <w:t>advice recipient</w:t>
      </w:r>
      <w:r w:rsidR="00333ECF" w:rsidRPr="001E52FE">
        <w:t>s</w:t>
      </w:r>
      <w:r w:rsidR="00A93486" w:rsidRPr="001E52FE">
        <w:t>’</w:t>
      </w:r>
      <w:r w:rsidR="00333ECF" w:rsidRPr="001E52FE">
        <w:t xml:space="preserve"> global satisfaction with supportive conversation</w:t>
      </w:r>
      <w:r w:rsidR="00A93486" w:rsidRPr="001E52FE">
        <w:t>s</w:t>
      </w:r>
      <w:r w:rsidR="00716AB8" w:rsidRPr="001E52FE">
        <w:t xml:space="preserve">, </w:t>
      </w:r>
      <w:r w:rsidR="00A20F47" w:rsidRPr="001E52FE">
        <w:t xml:space="preserve">the quality of advice is likely </w:t>
      </w:r>
      <w:r w:rsidR="00B81A91" w:rsidRPr="001E52FE">
        <w:t xml:space="preserve">to directly impact perceptions of supportive interactions </w:t>
      </w:r>
      <w:r w:rsidR="00333ECF" w:rsidRPr="001E52FE">
        <w:t>given its implications for problem-solving behavior, identity, and the relationship with the advisor (MacGeorge, Feng et al., 2016</w:t>
      </w:r>
      <w:r w:rsidR="00E1229B" w:rsidRPr="001E52FE">
        <w:t>)</w:t>
      </w:r>
      <w:r w:rsidR="00333ECF" w:rsidRPr="001E52FE">
        <w:t xml:space="preserve">. </w:t>
      </w:r>
      <w:r w:rsidR="00426ECA">
        <w:t>Therefore, the second hypothesis is presented</w:t>
      </w:r>
      <w:r w:rsidR="00F91B0B">
        <w:t>:</w:t>
      </w:r>
    </w:p>
    <w:p w14:paraId="1047985A" w14:textId="2EBFEF57" w:rsidR="00192116" w:rsidRPr="001E52FE" w:rsidRDefault="00192116" w:rsidP="00FC2F58">
      <w:pPr>
        <w:spacing w:line="480" w:lineRule="auto"/>
        <w:ind w:left="720"/>
      </w:pPr>
      <w:r w:rsidRPr="001E52FE">
        <w:rPr>
          <w:b/>
        </w:rPr>
        <w:lastRenderedPageBreak/>
        <w:t>H2:</w:t>
      </w:r>
      <w:r w:rsidRPr="001E52FE">
        <w:t xml:space="preserve"> </w:t>
      </w:r>
      <w:r w:rsidR="00A56FDB" w:rsidRPr="001E52FE">
        <w:t>R</w:t>
      </w:r>
      <w:r w:rsidRPr="001E52FE">
        <w:t>ecipient advice quality ratings will be positively associated with recipient overall conversational satisfaction.</w:t>
      </w:r>
    </w:p>
    <w:p w14:paraId="25AC688C" w14:textId="1084B561" w:rsidR="00333ECF" w:rsidRPr="001E52FE" w:rsidRDefault="00A93486" w:rsidP="00FC2F58">
      <w:pPr>
        <w:spacing w:line="480" w:lineRule="auto"/>
        <w:ind w:firstLine="720"/>
      </w:pPr>
      <w:r w:rsidRPr="001E52FE">
        <w:t xml:space="preserve">Anticipating effects of relational assessments on advice quality, it is reasonable to assume that advice quality mediates at least some of the influence of relational assessments on conversational satisfaction—that is, people are ultimately more satisfied with a supportive conversation when evaluations of the relationship boost </w:t>
      </w:r>
      <w:r w:rsidR="00FA26AF" w:rsidRPr="001E52FE">
        <w:t xml:space="preserve">perceived </w:t>
      </w:r>
      <w:r w:rsidRPr="001E52FE">
        <w:t xml:space="preserve">advice quality. Yet, support recipients could be satisfied with the conversation due to relational history even if they regarded the advice they received as low quality (see </w:t>
      </w:r>
      <w:proofErr w:type="spellStart"/>
      <w:r w:rsidRPr="001E52FE">
        <w:t>Lakey</w:t>
      </w:r>
      <w:proofErr w:type="spellEnd"/>
      <w:r w:rsidRPr="001E52FE">
        <w:t xml:space="preserve"> &amp; </w:t>
      </w:r>
      <w:proofErr w:type="spellStart"/>
      <w:r w:rsidRPr="001E52FE">
        <w:t>Orehek</w:t>
      </w:r>
      <w:proofErr w:type="spellEnd"/>
      <w:r w:rsidRPr="001E52FE">
        <w:t xml:space="preserve">, 2011). </w:t>
      </w:r>
      <w:r w:rsidR="00E35B8A">
        <w:t>Thus</w:t>
      </w:r>
      <w:r w:rsidR="00333ECF" w:rsidRPr="001E52FE">
        <w:t>:</w:t>
      </w:r>
    </w:p>
    <w:p w14:paraId="62339102" w14:textId="77777777" w:rsidR="00333ECF" w:rsidRPr="001E52FE" w:rsidRDefault="00333ECF" w:rsidP="00FC2F58">
      <w:pPr>
        <w:spacing w:line="480" w:lineRule="auto"/>
        <w:ind w:left="720"/>
      </w:pPr>
      <w:r w:rsidRPr="001E52FE">
        <w:rPr>
          <w:b/>
        </w:rPr>
        <w:t>H3:</w:t>
      </w:r>
      <w:r w:rsidRPr="001E52FE">
        <w:t xml:space="preserve"> Recipient relational assessments will be directly and indirectly (through advice quality ratings) associated with their conversational satisfaction.</w:t>
      </w:r>
    </w:p>
    <w:p w14:paraId="6F4EE4DF" w14:textId="1842F141" w:rsidR="00F70156" w:rsidRPr="001E52FE" w:rsidRDefault="00EA3255" w:rsidP="00FC2F58">
      <w:pPr>
        <w:spacing w:line="480" w:lineRule="auto"/>
        <w:ind w:firstLine="720"/>
      </w:pPr>
      <w:r w:rsidRPr="001E52FE">
        <w:t xml:space="preserve">Finally, because of the discrepancy between recipient and advisor roles (one has the problem, the other has the advice), </w:t>
      </w:r>
      <w:r w:rsidR="00B43B04" w:rsidRPr="001E52FE">
        <w:t>coping facilitation and implementation intention are outcomes principally relevant to recipients</w:t>
      </w:r>
      <w:r w:rsidRPr="001E52FE">
        <w:t xml:space="preserve">. (For advisors, one might ask about supportive or persuasive intentions.). However, </w:t>
      </w:r>
      <w:r w:rsidR="00B43B04" w:rsidRPr="001E52FE">
        <w:t>satisfaction is an outcome relevant to both recipients and advisors</w:t>
      </w:r>
      <w:r w:rsidR="00BD6B15" w:rsidRPr="001E52FE">
        <w:t xml:space="preserve"> (e.g., </w:t>
      </w:r>
      <w:r w:rsidR="003E0A78" w:rsidRPr="001E52FE">
        <w:t xml:space="preserve">MacGeorge et al., 2015; </w:t>
      </w:r>
      <w:r w:rsidR="00BD6B15" w:rsidRPr="001E52FE">
        <w:rPr>
          <w:rFonts w:eastAsia="Calibri" w:cs="Times New Roman"/>
        </w:rPr>
        <w:t>Spitzmuller &amp; Van Dyne, 2013</w:t>
      </w:r>
      <w:r w:rsidR="003E0A78" w:rsidRPr="001E52FE">
        <w:rPr>
          <w:rFonts w:eastAsia="Calibri" w:cs="Times New Roman"/>
        </w:rPr>
        <w:t>)</w:t>
      </w:r>
      <w:r w:rsidRPr="001E52FE">
        <w:t xml:space="preserve">, and one that is plausibly connected to the future of supportive exchanges between them. </w:t>
      </w:r>
      <w:r w:rsidR="00250273" w:rsidRPr="001E52FE">
        <w:t>Although</w:t>
      </w:r>
      <w:r w:rsidRPr="001E52FE">
        <w:t xml:space="preserve"> ART </w:t>
      </w:r>
      <w:r w:rsidR="0082563E" w:rsidRPr="001E52FE">
        <w:t xml:space="preserve">has not previously </w:t>
      </w:r>
      <w:r w:rsidRPr="001E52FE">
        <w:t>address</w:t>
      </w:r>
      <w:r w:rsidR="0082563E" w:rsidRPr="001E52FE">
        <w:t>ed</w:t>
      </w:r>
      <w:r w:rsidRPr="001E52FE">
        <w:t xml:space="preserve"> </w:t>
      </w:r>
      <w:r w:rsidR="0082563E" w:rsidRPr="001E52FE">
        <w:t>advisor-</w:t>
      </w:r>
      <w:r w:rsidR="00250273" w:rsidRPr="001E52FE">
        <w:t>reported</w:t>
      </w:r>
      <w:r w:rsidR="0082563E" w:rsidRPr="001E52FE">
        <w:t xml:space="preserve"> variables, we argue that the advisor’s perspective</w:t>
      </w:r>
      <w:r w:rsidRPr="001E52FE">
        <w:t xml:space="preserve"> </w:t>
      </w:r>
      <w:r w:rsidR="00BA02CE" w:rsidRPr="001E52FE">
        <w:t>is a</w:t>
      </w:r>
      <w:r w:rsidR="0082563E" w:rsidRPr="001E52FE">
        <w:t xml:space="preserve"> </w:t>
      </w:r>
      <w:r w:rsidR="00BA02CE" w:rsidRPr="001E52FE">
        <w:t>vital component</w:t>
      </w:r>
      <w:r w:rsidR="0082563E" w:rsidRPr="001E52FE">
        <w:t xml:space="preserve"> for advice interaction models</w:t>
      </w:r>
      <w:r w:rsidRPr="001E52FE">
        <w:t>.</w:t>
      </w:r>
    </w:p>
    <w:p w14:paraId="40AF3579" w14:textId="77777777" w:rsidR="0049486B" w:rsidRPr="001E52FE" w:rsidRDefault="00542B3F" w:rsidP="00FC2F58">
      <w:pPr>
        <w:spacing w:line="480" w:lineRule="auto"/>
        <w:rPr>
          <w:b/>
        </w:rPr>
      </w:pPr>
      <w:r w:rsidRPr="001E52FE">
        <w:rPr>
          <w:b/>
        </w:rPr>
        <w:t xml:space="preserve">Incorporating </w:t>
      </w:r>
      <w:r w:rsidR="0049486B" w:rsidRPr="001E52FE">
        <w:rPr>
          <w:b/>
        </w:rPr>
        <w:t xml:space="preserve">the Advisor’s Perspective </w:t>
      </w:r>
    </w:p>
    <w:p w14:paraId="013C820C" w14:textId="26D059E5" w:rsidR="005D6304" w:rsidRPr="001E52FE" w:rsidRDefault="00D31748" w:rsidP="00E4535C">
      <w:pPr>
        <w:spacing w:line="480" w:lineRule="auto"/>
        <w:ind w:firstLine="720"/>
      </w:pPr>
      <w:r w:rsidRPr="001E52FE">
        <w:t>Support</w:t>
      </w:r>
      <w:r w:rsidR="002164E4" w:rsidRPr="001E52FE">
        <w:rPr>
          <w:szCs w:val="24"/>
        </w:rPr>
        <w:t xml:space="preserve"> interactions are influenced by communication behaviors, perceptions, and evaluations of both parties (</w:t>
      </w:r>
      <w:r w:rsidR="002901E7" w:rsidRPr="001E52FE">
        <w:rPr>
          <w:szCs w:val="24"/>
        </w:rPr>
        <w:t>Goldsmith, 2004</w:t>
      </w:r>
      <w:r w:rsidR="002164E4" w:rsidRPr="001E52FE">
        <w:rPr>
          <w:szCs w:val="24"/>
        </w:rPr>
        <w:t xml:space="preserve">). </w:t>
      </w:r>
      <w:r w:rsidR="00440828" w:rsidRPr="001E52FE">
        <w:t>R</w:t>
      </w:r>
      <w:r w:rsidR="002164E4" w:rsidRPr="001E52FE">
        <w:t xml:space="preserve">elationships themselves “look different” from each individual party’s perspective, and support providers’ and recipients’ perceptions of enacted support may differ, sometimes quite substantially (Bodie, Jones, Vickery, Hatcher, &amp; Cannava, </w:t>
      </w:r>
      <w:r w:rsidR="002164E4" w:rsidRPr="001E52FE">
        <w:lastRenderedPageBreak/>
        <w:t xml:space="preserve">2015; Priem et al., 2009). </w:t>
      </w:r>
      <w:r w:rsidR="0082563E" w:rsidRPr="001E52FE">
        <w:t xml:space="preserve">Likewise, advice evaluations differ depending on whether the evaluator </w:t>
      </w:r>
      <w:r w:rsidR="00530F47">
        <w:t>enacts</w:t>
      </w:r>
      <w:r w:rsidR="0082563E" w:rsidRPr="001E52FE">
        <w:t xml:space="preserve"> the role of advisor or recipient (Barkan, Danziger, &amp; Shani, 2016; Danziger, Montal, &amp; Barkan, 2012)</w:t>
      </w:r>
      <w:r w:rsidR="0082563E" w:rsidRPr="001E52FE">
        <w:rPr>
          <w:szCs w:val="24"/>
        </w:rPr>
        <w:t xml:space="preserve">. </w:t>
      </w:r>
      <w:r w:rsidR="00A82012" w:rsidRPr="001E52FE">
        <w:t>In its original form, ART focuse</w:t>
      </w:r>
      <w:r w:rsidR="0082563E" w:rsidRPr="001E52FE">
        <w:t>d</w:t>
      </w:r>
      <w:r w:rsidR="002C36C2" w:rsidRPr="001E52FE">
        <w:t xml:space="preserve"> solely on </w:t>
      </w:r>
      <w:r w:rsidR="00A82012" w:rsidRPr="001E52FE">
        <w:t xml:space="preserve">the </w:t>
      </w:r>
      <w:r w:rsidR="002C36C2" w:rsidRPr="001E52FE">
        <w:t>advice recipient</w:t>
      </w:r>
      <w:r w:rsidR="00A82012" w:rsidRPr="001E52FE">
        <w:t>’s perspective</w:t>
      </w:r>
      <w:r w:rsidR="002C36C2" w:rsidRPr="001E52FE">
        <w:t xml:space="preserve">, but advisors are also influenced by advice messages (Wilson et al., 1998). </w:t>
      </w:r>
      <w:r w:rsidR="0077437B" w:rsidRPr="001E52FE">
        <w:t>Thus, w</w:t>
      </w:r>
      <w:r w:rsidR="009E2E50" w:rsidRPr="001E52FE">
        <w:t xml:space="preserve">e incorporate advisor evaluations </w:t>
      </w:r>
      <w:r w:rsidR="009B07A3" w:rsidRPr="001E52FE">
        <w:t>of relational assessments, advice quality, and conversation satisfaction</w:t>
      </w:r>
      <w:r w:rsidR="00426ECA">
        <w:t xml:space="preserve"> into ART</w:t>
      </w:r>
      <w:r w:rsidR="00322068" w:rsidRPr="001E52FE">
        <w:t>, along with recipient evaluations of these elements</w:t>
      </w:r>
      <w:r w:rsidR="009B07A3" w:rsidRPr="001E52FE">
        <w:t xml:space="preserve">. </w:t>
      </w:r>
    </w:p>
    <w:p w14:paraId="3E62E424" w14:textId="0B50C7A8" w:rsidR="00021895" w:rsidRPr="001E52FE" w:rsidRDefault="00E4535C" w:rsidP="001A511A">
      <w:pPr>
        <w:spacing w:line="480" w:lineRule="auto"/>
        <w:ind w:firstLine="720"/>
      </w:pPr>
      <w:r w:rsidRPr="001E52FE">
        <w:t>We propose three testable models</w:t>
      </w:r>
      <w:r w:rsidR="001445EE" w:rsidRPr="001E52FE">
        <w:t>—differentiated by patterns of actor- and partner-effects—</w:t>
      </w:r>
      <w:r w:rsidR="00BD63E9" w:rsidRPr="001E52FE">
        <w:t>on the conjoint influence of recipient</w:t>
      </w:r>
      <w:r w:rsidR="004F67A6" w:rsidRPr="001E52FE">
        <w:t>-reported</w:t>
      </w:r>
      <w:r w:rsidR="00BD63E9" w:rsidRPr="001E52FE">
        <w:t xml:space="preserve"> and advisor</w:t>
      </w:r>
      <w:r w:rsidR="004F67A6" w:rsidRPr="001E52FE">
        <w:t>-reported variables</w:t>
      </w:r>
      <w:r w:rsidRPr="001E52FE">
        <w:t xml:space="preserve">. </w:t>
      </w:r>
      <w:r w:rsidR="00106CBD" w:rsidRPr="001E52FE">
        <w:t xml:space="preserve">Actor-effects </w:t>
      </w:r>
      <w:r w:rsidR="00987DF3" w:rsidRPr="001E52FE">
        <w:t>describe the association between variables reported by the same person</w:t>
      </w:r>
      <w:r w:rsidR="00C51AEC" w:rsidRPr="001E52FE">
        <w:t xml:space="preserve"> (</w:t>
      </w:r>
      <w:r w:rsidR="00D31071" w:rsidRPr="001E52FE">
        <w:t xml:space="preserve">e.g., associations between recipient relational assessments and recipient advice quality ratings; </w:t>
      </w:r>
      <w:r w:rsidR="00C51AEC" w:rsidRPr="001E52FE">
        <w:t>Kenny, Cook, &amp; Kashy, 200</w:t>
      </w:r>
      <w:r w:rsidR="002D7D04" w:rsidRPr="001E52FE">
        <w:t>6)</w:t>
      </w:r>
      <w:r w:rsidR="00AA0437" w:rsidRPr="001E52FE">
        <w:t>.</w:t>
      </w:r>
      <w:r w:rsidR="00BA3604" w:rsidRPr="001E52FE">
        <w:t xml:space="preserve"> </w:t>
      </w:r>
      <w:r w:rsidRPr="001E52FE">
        <w:t xml:space="preserve">Across all three models, we anticipate the previously-hypothesized </w:t>
      </w:r>
      <w:r w:rsidRPr="001E52FE">
        <w:rPr>
          <w:i/>
        </w:rPr>
        <w:t xml:space="preserve">actor-effects </w:t>
      </w:r>
      <w:r w:rsidRPr="001E52FE">
        <w:t xml:space="preserve">for recipients. </w:t>
      </w:r>
      <w:r w:rsidR="00793941" w:rsidRPr="001E52FE">
        <w:t>Correspondingly, a</w:t>
      </w:r>
      <w:r w:rsidR="00F22D59" w:rsidRPr="001E52FE">
        <w:t xml:space="preserve">dvisors </w:t>
      </w:r>
      <w:r w:rsidR="00793941" w:rsidRPr="001E52FE">
        <w:t xml:space="preserve">may </w:t>
      </w:r>
      <w:r w:rsidRPr="001E52FE">
        <w:t xml:space="preserve">experience </w:t>
      </w:r>
      <w:r w:rsidR="00F22D59" w:rsidRPr="001E52FE">
        <w:t>similar actor-effects between the</w:t>
      </w:r>
      <w:r w:rsidR="00AA0437" w:rsidRPr="001E52FE">
        <w:t>se</w:t>
      </w:r>
      <w:r w:rsidR="00F22D59" w:rsidRPr="001E52FE">
        <w:t xml:space="preserve"> variables</w:t>
      </w:r>
      <w:r w:rsidR="00E43C76" w:rsidRPr="001E52FE">
        <w:t xml:space="preserve"> (</w:t>
      </w:r>
      <w:r w:rsidR="001F2FA5" w:rsidRPr="001E52FE">
        <w:rPr>
          <w:i/>
        </w:rPr>
        <w:t>the</w:t>
      </w:r>
      <w:r w:rsidR="001F2FA5" w:rsidRPr="001E52FE">
        <w:t xml:space="preserve"> </w:t>
      </w:r>
      <w:r w:rsidR="00A74102" w:rsidRPr="001E52FE">
        <w:rPr>
          <w:i/>
        </w:rPr>
        <w:t>i</w:t>
      </w:r>
      <w:r w:rsidR="0082102E" w:rsidRPr="001E52FE">
        <w:rPr>
          <w:i/>
        </w:rPr>
        <w:t>ndependent perspectives model</w:t>
      </w:r>
      <w:r w:rsidR="00E43C76" w:rsidRPr="001E52FE">
        <w:t>)</w:t>
      </w:r>
      <w:r w:rsidR="00F22D59" w:rsidRPr="001E52FE">
        <w:t xml:space="preserve">. </w:t>
      </w:r>
      <w:r w:rsidR="002B6EB4" w:rsidRPr="001E52FE">
        <w:t>However</w:t>
      </w:r>
      <w:r w:rsidR="00AA0437" w:rsidRPr="001E52FE">
        <w:t xml:space="preserve">, because </w:t>
      </w:r>
      <w:r w:rsidR="00EC10C6" w:rsidRPr="001E52FE">
        <w:t>advice</w:t>
      </w:r>
      <w:r w:rsidR="00AA0437" w:rsidRPr="001E52FE">
        <w:t xml:space="preserve"> interactions focus on the recipients’ problems, advisors’</w:t>
      </w:r>
      <w:r w:rsidR="00CB5BA8" w:rsidRPr="001E52FE">
        <w:t xml:space="preserve"> evaluation of their own advice and</w:t>
      </w:r>
      <w:r w:rsidR="00AA0437" w:rsidRPr="001E52FE">
        <w:t xml:space="preserve"> satisfaction with the </w:t>
      </w:r>
      <w:r w:rsidR="00FB3850" w:rsidRPr="001E52FE">
        <w:t>conversation</w:t>
      </w:r>
      <w:r w:rsidR="00AA0437" w:rsidRPr="001E52FE">
        <w:t xml:space="preserve"> might depend on how recipients respond</w:t>
      </w:r>
      <w:r w:rsidR="00D438B0" w:rsidRPr="001E52FE">
        <w:t xml:space="preserve"> (</w:t>
      </w:r>
      <w:r w:rsidR="00F76DE8" w:rsidRPr="001E52FE">
        <w:rPr>
          <w:i/>
        </w:rPr>
        <w:t>the recipient-dominant model</w:t>
      </w:r>
      <w:r w:rsidR="00D438B0" w:rsidRPr="001E52FE">
        <w:t>)</w:t>
      </w:r>
      <w:r w:rsidR="00AA0437" w:rsidRPr="001E52FE">
        <w:t>.</w:t>
      </w:r>
      <w:r w:rsidR="00EC10C6" w:rsidRPr="001E52FE">
        <w:t xml:space="preserve"> </w:t>
      </w:r>
      <w:r w:rsidR="00E67243" w:rsidRPr="001E52FE">
        <w:t>Advisor outcomes may therefore be influenced by recipient</w:t>
      </w:r>
      <w:r w:rsidR="00793941" w:rsidRPr="001E52FE">
        <w:t xml:space="preserve"> </w:t>
      </w:r>
      <w:r w:rsidR="00EC10C6" w:rsidRPr="001E52FE">
        <w:rPr>
          <w:i/>
        </w:rPr>
        <w:t>partner</w:t>
      </w:r>
      <w:r w:rsidR="00793941" w:rsidRPr="001E52FE">
        <w:rPr>
          <w:i/>
        </w:rPr>
        <w:t>-</w:t>
      </w:r>
      <w:r w:rsidR="00EC10C6" w:rsidRPr="001E52FE">
        <w:rPr>
          <w:i/>
        </w:rPr>
        <w:t>effects</w:t>
      </w:r>
      <w:r w:rsidR="00EC10C6" w:rsidRPr="001E52FE">
        <w:t xml:space="preserve">—when </w:t>
      </w:r>
      <w:r w:rsidR="00030998" w:rsidRPr="001E52FE">
        <w:t>one person’s ratings influence the partner’s outcome</w:t>
      </w:r>
      <w:r w:rsidR="00B908EC" w:rsidRPr="001E52FE">
        <w:t xml:space="preserve"> (Kenny</w:t>
      </w:r>
      <w:r w:rsidR="00346834" w:rsidRPr="001E52FE">
        <w:t xml:space="preserve"> et al.,</w:t>
      </w:r>
      <w:r w:rsidR="00B908EC" w:rsidRPr="001E52FE">
        <w:t xml:space="preserve"> 2006)</w:t>
      </w:r>
      <w:r w:rsidR="00030998" w:rsidRPr="001E52FE">
        <w:t>.</w:t>
      </w:r>
      <w:r w:rsidR="00AA0437" w:rsidRPr="001E52FE">
        <w:t xml:space="preserve"> Finally, </w:t>
      </w:r>
      <w:r w:rsidR="00EB5B74" w:rsidRPr="001E52FE">
        <w:t>advisors</w:t>
      </w:r>
      <w:r w:rsidR="00793941" w:rsidRPr="001E52FE">
        <w:t>’</w:t>
      </w:r>
      <w:r w:rsidR="00EB5B74" w:rsidRPr="001E52FE">
        <w:t xml:space="preserve"> and recipient</w:t>
      </w:r>
      <w:r w:rsidR="00793941" w:rsidRPr="001E52FE">
        <w:t>s’</w:t>
      </w:r>
      <w:r w:rsidR="00EB5B74" w:rsidRPr="001E52FE">
        <w:t xml:space="preserve"> perceptions may</w:t>
      </w:r>
      <w:r w:rsidR="00AA0437" w:rsidRPr="001E52FE">
        <w:t xml:space="preserve"> mutual</w:t>
      </w:r>
      <w:r w:rsidR="00774257" w:rsidRPr="001E52FE">
        <w:t>ly</w:t>
      </w:r>
      <w:r w:rsidR="00AA0437" w:rsidRPr="001E52FE">
        <w:t xml:space="preserve"> influence</w:t>
      </w:r>
      <w:r w:rsidR="00EB5B74" w:rsidRPr="001E52FE">
        <w:t xml:space="preserve"> each other</w:t>
      </w:r>
      <w:r w:rsidR="00AA0437" w:rsidRPr="001E52FE">
        <w:t xml:space="preserve">, </w:t>
      </w:r>
      <w:r w:rsidR="00816312" w:rsidRPr="001E52FE">
        <w:t>with both</w:t>
      </w:r>
      <w:r w:rsidR="00AA0437" w:rsidRPr="001E52FE">
        <w:t xml:space="preserve"> advisors and recipients </w:t>
      </w:r>
      <w:r w:rsidR="00621217" w:rsidRPr="001E52FE">
        <w:t>experiencing</w:t>
      </w:r>
      <w:r w:rsidR="00AA0437" w:rsidRPr="001E52FE">
        <w:t xml:space="preserve"> actor- and partner</w:t>
      </w:r>
      <w:r w:rsidR="006B1050" w:rsidRPr="001E52FE">
        <w:t>-</w:t>
      </w:r>
      <w:r w:rsidR="00AA0437" w:rsidRPr="001E52FE">
        <w:t>effects</w:t>
      </w:r>
      <w:r w:rsidR="001F2FA5" w:rsidRPr="001E52FE">
        <w:t xml:space="preserve"> (</w:t>
      </w:r>
      <w:r w:rsidR="00170432" w:rsidRPr="001E52FE">
        <w:rPr>
          <w:i/>
        </w:rPr>
        <w:t>the mutual influence model</w:t>
      </w:r>
      <w:r w:rsidR="00BC0D42" w:rsidRPr="001E52FE">
        <w:t>)</w:t>
      </w:r>
      <w:r w:rsidR="00AA0437" w:rsidRPr="001E52FE">
        <w:t xml:space="preserve">. </w:t>
      </w:r>
      <w:r w:rsidR="00D31A5D" w:rsidRPr="001E52FE">
        <w:t xml:space="preserve">Figure 1 models the hypotheses </w:t>
      </w:r>
      <w:r w:rsidR="00C872E2" w:rsidRPr="001E52FE">
        <w:t>about</w:t>
      </w:r>
      <w:r w:rsidR="00D31A5D" w:rsidRPr="001E52FE">
        <w:t xml:space="preserve"> </w:t>
      </w:r>
      <w:r w:rsidR="00793941" w:rsidRPr="001E52FE">
        <w:t xml:space="preserve">recipient actor-effects </w:t>
      </w:r>
      <w:r w:rsidR="00D31A5D" w:rsidRPr="001E52FE">
        <w:t>(i.e., H1</w:t>
      </w:r>
      <w:r w:rsidR="008A7C40" w:rsidRPr="001E52FE">
        <w:t xml:space="preserve"> - </w:t>
      </w:r>
      <w:r w:rsidR="00040383" w:rsidRPr="001E52FE">
        <w:t>H3</w:t>
      </w:r>
      <w:r w:rsidR="00D31A5D" w:rsidRPr="001E52FE">
        <w:t xml:space="preserve">) </w:t>
      </w:r>
      <w:r w:rsidR="004D664B" w:rsidRPr="001E52FE">
        <w:t xml:space="preserve">and </w:t>
      </w:r>
      <w:r w:rsidR="00BB4A4E" w:rsidRPr="001E52FE">
        <w:t>the</w:t>
      </w:r>
      <w:r w:rsidR="00AA0437" w:rsidRPr="001E52FE">
        <w:t xml:space="preserve"> three</w:t>
      </w:r>
      <w:r w:rsidR="004D664B" w:rsidRPr="001E52FE">
        <w:t xml:space="preserve"> perspectives </w:t>
      </w:r>
      <w:r w:rsidR="00642E2A" w:rsidRPr="001E52FE">
        <w:t xml:space="preserve">representing </w:t>
      </w:r>
      <w:r w:rsidR="00C74659" w:rsidRPr="001E52FE">
        <w:t>advisor outcomes</w:t>
      </w:r>
      <w:r w:rsidR="004D664B" w:rsidRPr="001E52FE">
        <w:t>.</w:t>
      </w:r>
      <w:r w:rsidR="005B3ADF" w:rsidRPr="001E52FE">
        <w:t xml:space="preserve"> </w:t>
      </w:r>
      <w:r w:rsidR="00C51A1F" w:rsidRPr="001E52FE">
        <w:t xml:space="preserve">We discuss each </w:t>
      </w:r>
      <w:r w:rsidR="00BE2184" w:rsidRPr="001E52FE">
        <w:t xml:space="preserve">model </w:t>
      </w:r>
      <w:r w:rsidR="0052497E" w:rsidRPr="001E52FE">
        <w:t>below</w:t>
      </w:r>
      <w:r w:rsidR="00C51A1F" w:rsidRPr="001E52FE">
        <w:t>.</w:t>
      </w:r>
    </w:p>
    <w:p w14:paraId="72D71F34" w14:textId="1C374695" w:rsidR="00336A21" w:rsidRPr="001E52FE" w:rsidRDefault="008B3C25" w:rsidP="00FC2F58">
      <w:pPr>
        <w:spacing w:line="480" w:lineRule="auto"/>
      </w:pPr>
      <w:r w:rsidRPr="001E52FE">
        <w:rPr>
          <w:b/>
        </w:rPr>
        <w:tab/>
      </w:r>
      <w:r w:rsidR="006A61F1" w:rsidRPr="001E52FE">
        <w:rPr>
          <w:b/>
        </w:rPr>
        <w:t>Independent perspectives model</w:t>
      </w:r>
      <w:r w:rsidRPr="001E52FE">
        <w:rPr>
          <w:b/>
        </w:rPr>
        <w:t xml:space="preserve">: </w:t>
      </w:r>
      <w:r w:rsidR="00AD10AA" w:rsidRPr="001E52FE">
        <w:rPr>
          <w:b/>
        </w:rPr>
        <w:t>Parallel</w:t>
      </w:r>
      <w:r w:rsidR="008672B4" w:rsidRPr="001E52FE">
        <w:rPr>
          <w:b/>
        </w:rPr>
        <w:t xml:space="preserve"> </w:t>
      </w:r>
      <w:r w:rsidR="007F5B92" w:rsidRPr="001E52FE">
        <w:rPr>
          <w:b/>
        </w:rPr>
        <w:t>actor-e</w:t>
      </w:r>
      <w:r w:rsidRPr="001E52FE">
        <w:rPr>
          <w:b/>
        </w:rPr>
        <w:t>ffects</w:t>
      </w:r>
      <w:r w:rsidR="008657C3" w:rsidRPr="001E52FE">
        <w:rPr>
          <w:b/>
        </w:rPr>
        <w:t xml:space="preserve">. </w:t>
      </w:r>
      <w:r w:rsidR="00D248EE" w:rsidRPr="001E52FE">
        <w:t>A</w:t>
      </w:r>
      <w:r w:rsidR="000D443A" w:rsidRPr="001E52FE">
        <w:t>dvisor</w:t>
      </w:r>
      <w:r w:rsidR="00AD10AA" w:rsidRPr="001E52FE">
        <w:t>s’</w:t>
      </w:r>
      <w:r w:rsidR="000D443A" w:rsidRPr="001E52FE">
        <w:t xml:space="preserve"> </w:t>
      </w:r>
      <w:r w:rsidR="006B1272" w:rsidRPr="001E52FE">
        <w:t xml:space="preserve">evaluative </w:t>
      </w:r>
      <w:r w:rsidR="000D443A" w:rsidRPr="001E52FE">
        <w:t xml:space="preserve">processes might </w:t>
      </w:r>
      <w:r w:rsidR="00AD10AA" w:rsidRPr="001E52FE">
        <w:t>parallel those of recipients</w:t>
      </w:r>
      <w:r w:rsidR="00F14A52" w:rsidRPr="001E52FE">
        <w:t>. In other words,</w:t>
      </w:r>
      <w:r w:rsidR="000D443A" w:rsidRPr="001E52FE">
        <w:t xml:space="preserve"> </w:t>
      </w:r>
      <w:r w:rsidR="00430790" w:rsidRPr="001E52FE">
        <w:t xml:space="preserve">the relationships between </w:t>
      </w:r>
      <w:r w:rsidR="00AD10AA" w:rsidRPr="001E52FE">
        <w:t xml:space="preserve">relational </w:t>
      </w:r>
      <w:r w:rsidR="00AD10AA" w:rsidRPr="001E52FE">
        <w:lastRenderedPageBreak/>
        <w:t xml:space="preserve">assessments, advice quality, and conversational satisfaction </w:t>
      </w:r>
      <w:r w:rsidR="004D0983" w:rsidRPr="001E52FE">
        <w:t xml:space="preserve">may </w:t>
      </w:r>
      <w:r w:rsidR="008C1216" w:rsidRPr="001E52FE">
        <w:t>occur</w:t>
      </w:r>
      <w:r w:rsidR="00AD10AA" w:rsidRPr="001E52FE">
        <w:t xml:space="preserve"> </w:t>
      </w:r>
      <w:r w:rsidR="00AC390E" w:rsidRPr="001E52FE">
        <w:t xml:space="preserve">for advisors </w:t>
      </w:r>
      <w:r w:rsidR="00AD10AA" w:rsidRPr="001E52FE">
        <w:t>in the same manner as for recipi</w:t>
      </w:r>
      <w:r w:rsidR="006B1272" w:rsidRPr="001E52FE">
        <w:t>ents</w:t>
      </w:r>
      <w:r w:rsidR="004D649D" w:rsidRPr="001E52FE">
        <w:t>.</w:t>
      </w:r>
      <w:r w:rsidR="006B1272" w:rsidRPr="001E52FE">
        <w:t xml:space="preserve"> </w:t>
      </w:r>
      <w:r w:rsidR="00361686" w:rsidRPr="001E52FE">
        <w:t>Individuals satisfied with their relationships report they provide</w:t>
      </w:r>
      <w:r w:rsidR="00D84D9C" w:rsidRPr="001E52FE">
        <w:t xml:space="preserve"> higher quality support (Priem et al.</w:t>
      </w:r>
      <w:r w:rsidR="00361686" w:rsidRPr="001E52FE">
        <w:t>, 2009), and advisors who perceive their advice as high</w:t>
      </w:r>
      <w:r w:rsidR="00CA3265" w:rsidRPr="001E52FE">
        <w:t>er</w:t>
      </w:r>
      <w:r w:rsidR="00361686" w:rsidRPr="001E52FE">
        <w:t xml:space="preserve"> quality likely will a</w:t>
      </w:r>
      <w:r w:rsidR="00FF19D1" w:rsidRPr="001E52FE">
        <w:t>lso be more satisfied with the</w:t>
      </w:r>
      <w:r w:rsidR="00361686" w:rsidRPr="001E52FE">
        <w:t xml:space="preserve"> conversation. </w:t>
      </w:r>
      <w:r w:rsidR="003D3AA0" w:rsidRPr="001E52FE">
        <w:t xml:space="preserve">Although </w:t>
      </w:r>
      <w:r w:rsidR="007402D3" w:rsidRPr="001E52FE">
        <w:t xml:space="preserve">associations between </w:t>
      </w:r>
      <w:r w:rsidR="00164DEA" w:rsidRPr="001E52FE">
        <w:t xml:space="preserve">relationships, advice quality, and conversation satisfaction </w:t>
      </w:r>
      <w:r w:rsidR="00604BCC" w:rsidRPr="001E52FE">
        <w:t xml:space="preserve">may </w:t>
      </w:r>
      <w:r w:rsidR="00AA3A25" w:rsidRPr="001E52FE">
        <w:t xml:space="preserve">be </w:t>
      </w:r>
      <w:r w:rsidR="00604BCC" w:rsidRPr="001E52FE">
        <w:t xml:space="preserve">parallel </w:t>
      </w:r>
      <w:r w:rsidR="00FF3799" w:rsidRPr="001E52FE">
        <w:t>between advisors and recipients</w:t>
      </w:r>
      <w:r w:rsidR="00604BCC" w:rsidRPr="001E52FE">
        <w:t xml:space="preserve">, </w:t>
      </w:r>
      <w:r w:rsidR="0077640E" w:rsidRPr="001E52FE">
        <w:t>advisor</w:t>
      </w:r>
      <w:r w:rsidR="000155CD" w:rsidRPr="001E52FE">
        <w:t xml:space="preserve"> and recipient</w:t>
      </w:r>
      <w:r w:rsidR="006E12BD" w:rsidRPr="001E52FE">
        <w:t xml:space="preserve"> variables may not influence each other</w:t>
      </w:r>
      <w:r w:rsidR="0077640E" w:rsidRPr="001E52FE">
        <w:t>.</w:t>
      </w:r>
      <w:r w:rsidR="000F0DD5" w:rsidRPr="001E52FE">
        <w:t xml:space="preserve"> </w:t>
      </w:r>
      <w:r w:rsidR="005131F7" w:rsidRPr="001E52FE">
        <w:t>F</w:t>
      </w:r>
      <w:r w:rsidR="006B1272" w:rsidRPr="001E52FE">
        <w:t xml:space="preserve">rom construal-level theory, </w:t>
      </w:r>
      <w:r w:rsidR="00C149FC" w:rsidRPr="001E52FE">
        <w:t>Danziger</w:t>
      </w:r>
      <w:r w:rsidR="00D77FA2" w:rsidRPr="001E52FE">
        <w:t xml:space="preserve"> and colleagues </w:t>
      </w:r>
      <w:r w:rsidR="00C149FC" w:rsidRPr="001E52FE">
        <w:t>(2012)</w:t>
      </w:r>
      <w:r w:rsidR="004115A1" w:rsidRPr="001E52FE">
        <w:t xml:space="preserve"> </w:t>
      </w:r>
      <w:r w:rsidR="00AD10AA" w:rsidRPr="001E52FE">
        <w:t xml:space="preserve">argue </w:t>
      </w:r>
      <w:r w:rsidR="004115A1" w:rsidRPr="001E52FE">
        <w:t>that advisor</w:t>
      </w:r>
      <w:r w:rsidR="006B1272" w:rsidRPr="001E52FE">
        <w:t>s</w:t>
      </w:r>
      <w:r w:rsidR="004115A1" w:rsidRPr="001E52FE">
        <w:t xml:space="preserve"> conceptualize advice </w:t>
      </w:r>
      <w:r w:rsidR="006B1272" w:rsidRPr="001E52FE">
        <w:t xml:space="preserve">more abstractly than recipients, who are more focused on the need to transform advice into concrete action. </w:t>
      </w:r>
      <w:r w:rsidR="00361686" w:rsidRPr="001E52FE">
        <w:t>Further, support providers and recipients do not necessarily align in their assessments of supportive interaction</w:t>
      </w:r>
      <w:r w:rsidR="00815831" w:rsidRPr="001E52FE">
        <w:t>s</w:t>
      </w:r>
      <w:r w:rsidR="00361686" w:rsidRPr="001E52FE">
        <w:t xml:space="preserve"> (Priem &amp; Solomon, 2015). </w:t>
      </w:r>
      <w:r w:rsidR="00AD10AA" w:rsidRPr="001E52FE">
        <w:t xml:space="preserve">Consequently, </w:t>
      </w:r>
      <w:r w:rsidR="00844C66" w:rsidRPr="001E52FE">
        <w:t>associations</w:t>
      </w:r>
      <w:r w:rsidR="00B554AE" w:rsidRPr="001E52FE">
        <w:t xml:space="preserve"> between </w:t>
      </w:r>
      <w:r w:rsidR="006B1272" w:rsidRPr="001E52FE">
        <w:t xml:space="preserve">the </w:t>
      </w:r>
      <w:r w:rsidR="00B554AE" w:rsidRPr="001E52FE">
        <w:t>variables</w:t>
      </w:r>
      <w:r w:rsidR="00361686" w:rsidRPr="001E52FE">
        <w:t xml:space="preserve"> in the model</w:t>
      </w:r>
      <w:r w:rsidR="00B554AE" w:rsidRPr="001E52FE">
        <w:t xml:space="preserve"> </w:t>
      </w:r>
      <w:r w:rsidR="004115A1" w:rsidRPr="001E52FE">
        <w:t xml:space="preserve">may be largely </w:t>
      </w:r>
      <w:r w:rsidR="00345CAB" w:rsidRPr="001E52FE">
        <w:t>role-dependent such that only actor-effects are present</w:t>
      </w:r>
      <w:r w:rsidR="006B1272" w:rsidRPr="001E52FE">
        <w:t xml:space="preserve"> for either advisor or recipient</w:t>
      </w:r>
      <w:r w:rsidR="00361686" w:rsidRPr="001E52FE">
        <w:t xml:space="preserve">. </w:t>
      </w:r>
      <w:r w:rsidR="00764940" w:rsidRPr="001E52FE">
        <w:t>Thus, f</w:t>
      </w:r>
      <w:r w:rsidR="00237F86" w:rsidRPr="001E52FE">
        <w:t xml:space="preserve">or </w:t>
      </w:r>
      <w:r w:rsidR="003761CB" w:rsidRPr="001E52FE">
        <w:t xml:space="preserve">the </w:t>
      </w:r>
      <w:r w:rsidR="003761CB" w:rsidRPr="001E52FE">
        <w:rPr>
          <w:i/>
        </w:rPr>
        <w:t>independent perspectives model</w:t>
      </w:r>
      <w:r w:rsidR="00C85C10" w:rsidRPr="001E52FE">
        <w:t>, we propose that advisor</w:t>
      </w:r>
      <w:r w:rsidR="00237F86" w:rsidRPr="001E52FE">
        <w:t xml:space="preserve"> perceptions of the relationship will </w:t>
      </w:r>
      <w:r w:rsidR="00361686" w:rsidRPr="001E52FE">
        <w:t xml:space="preserve">be positively </w:t>
      </w:r>
      <w:r w:rsidR="00237F86" w:rsidRPr="001E52FE">
        <w:t>associate</w:t>
      </w:r>
      <w:r w:rsidR="00361686" w:rsidRPr="001E52FE">
        <w:t>d</w:t>
      </w:r>
      <w:r w:rsidR="00237F86" w:rsidRPr="001E52FE">
        <w:t xml:space="preserve"> with advisor advice quality ratings, and th</w:t>
      </w:r>
      <w:r w:rsidR="00361686" w:rsidRPr="001E52FE">
        <w:t>ese</w:t>
      </w:r>
      <w:r w:rsidR="00237F86" w:rsidRPr="001E52FE">
        <w:t xml:space="preserve"> rating</w:t>
      </w:r>
      <w:r w:rsidR="00361686" w:rsidRPr="001E52FE">
        <w:t>s</w:t>
      </w:r>
      <w:r w:rsidR="00237F86" w:rsidRPr="001E52FE">
        <w:t xml:space="preserve"> will </w:t>
      </w:r>
      <w:r w:rsidR="00361686" w:rsidRPr="001E52FE">
        <w:t xml:space="preserve">be positively </w:t>
      </w:r>
      <w:r w:rsidR="00237F86" w:rsidRPr="001E52FE">
        <w:t>associate</w:t>
      </w:r>
      <w:r w:rsidR="00361686" w:rsidRPr="001E52FE">
        <w:t>d</w:t>
      </w:r>
      <w:r w:rsidR="00237F86" w:rsidRPr="001E52FE">
        <w:t xml:space="preserve"> with advisor conversational satisfaction (see Figure 1)</w:t>
      </w:r>
      <w:r w:rsidR="00361686" w:rsidRPr="001E52FE">
        <w:t>.</w:t>
      </w:r>
      <w:r w:rsidR="00024A61" w:rsidRPr="001E52FE">
        <w:t xml:space="preserve"> Advisor relational perceptions may also directly influence advisor conversational satisfaction, </w:t>
      </w:r>
      <w:r w:rsidR="00426ECA">
        <w:t>corresponding</w:t>
      </w:r>
      <w:r w:rsidR="00024A61" w:rsidRPr="001E52FE">
        <w:t xml:space="preserve"> with </w:t>
      </w:r>
      <w:r w:rsidR="008D28FF" w:rsidRPr="001E52FE">
        <w:t>H3</w:t>
      </w:r>
      <w:r w:rsidR="00024A61" w:rsidRPr="001E52FE">
        <w:t>.</w:t>
      </w:r>
      <w:r w:rsidR="00361686" w:rsidRPr="001E52FE">
        <w:t xml:space="preserve"> </w:t>
      </w:r>
    </w:p>
    <w:p w14:paraId="41D4FDD5" w14:textId="61B9CFEC" w:rsidR="00277737" w:rsidRPr="001E52FE" w:rsidRDefault="003B34A4" w:rsidP="00FC2F58">
      <w:pPr>
        <w:spacing w:line="480" w:lineRule="auto"/>
        <w:ind w:firstLine="720"/>
      </w:pPr>
      <w:r w:rsidRPr="001E52FE">
        <w:rPr>
          <w:b/>
        </w:rPr>
        <w:t>Recipient-dominant model</w:t>
      </w:r>
      <w:r w:rsidR="005B141A" w:rsidRPr="001E52FE">
        <w:rPr>
          <w:b/>
        </w:rPr>
        <w:t>: Recipient perspective</w:t>
      </w:r>
      <w:r w:rsidR="009E6D8B" w:rsidRPr="001E52FE">
        <w:rPr>
          <w:b/>
        </w:rPr>
        <w:t>s</w:t>
      </w:r>
      <w:r w:rsidR="005B141A" w:rsidRPr="001E52FE">
        <w:rPr>
          <w:b/>
        </w:rPr>
        <w:t xml:space="preserve"> matter most. </w:t>
      </w:r>
      <w:r w:rsidR="00A67AA0" w:rsidRPr="001E52FE">
        <w:t xml:space="preserve">Although advisors conceptualize the advice interaction differently than recipients, </w:t>
      </w:r>
      <w:r w:rsidR="009F55C5" w:rsidRPr="001E52FE">
        <w:t xml:space="preserve">advisors might </w:t>
      </w:r>
      <w:r w:rsidR="00277737" w:rsidRPr="001E52FE">
        <w:t xml:space="preserve">nonetheless </w:t>
      </w:r>
      <w:r w:rsidR="009F55C5" w:rsidRPr="001E52FE">
        <w:t xml:space="preserve">be </w:t>
      </w:r>
      <w:r w:rsidR="006A1562" w:rsidRPr="001E52FE">
        <w:t>attuned</w:t>
      </w:r>
      <w:r w:rsidR="009F55C5" w:rsidRPr="001E52FE">
        <w:t xml:space="preserve"> to</w:t>
      </w:r>
      <w:r w:rsidR="00426ECA">
        <w:t>,</w:t>
      </w:r>
      <w:r w:rsidR="009F55C5" w:rsidRPr="001E52FE">
        <w:t xml:space="preserve"> </w:t>
      </w:r>
      <w:r w:rsidR="00277737" w:rsidRPr="001E52FE">
        <w:t>and influenced by</w:t>
      </w:r>
      <w:r w:rsidR="00426ECA">
        <w:t>,</w:t>
      </w:r>
      <w:r w:rsidR="00277737" w:rsidRPr="001E52FE">
        <w:t xml:space="preserve"> </w:t>
      </w:r>
      <w:r w:rsidR="009F55C5" w:rsidRPr="001E52FE">
        <w:t>recipient perceptions</w:t>
      </w:r>
      <w:r w:rsidR="0004758A" w:rsidRPr="001E52FE">
        <w:t xml:space="preserve">. </w:t>
      </w:r>
      <w:r w:rsidR="00277737" w:rsidRPr="001E52FE">
        <w:t xml:space="preserve">Supportive communication is typically motivated by </w:t>
      </w:r>
      <w:r w:rsidR="003B108D" w:rsidRPr="001E52FE">
        <w:t xml:space="preserve">the intention of helping </w:t>
      </w:r>
      <w:r w:rsidR="00043103" w:rsidRPr="001E52FE">
        <w:t xml:space="preserve">or assisting </w:t>
      </w:r>
      <w:r w:rsidR="003B108D" w:rsidRPr="001E52FE">
        <w:t>the recipient</w:t>
      </w:r>
      <w:r w:rsidR="00043103" w:rsidRPr="001E52FE">
        <w:t xml:space="preserve"> (MacGeorge, Feng, &amp; Burleson, 2011)</w:t>
      </w:r>
      <w:r w:rsidR="00277737" w:rsidRPr="001E52FE">
        <w:t xml:space="preserve">, </w:t>
      </w:r>
      <w:r w:rsidR="001C4BCE" w:rsidRPr="001E52FE">
        <w:t>making it</w:t>
      </w:r>
      <w:r w:rsidR="00277737" w:rsidRPr="001E52FE">
        <w:t xml:space="preserve"> relevant for support provider</w:t>
      </w:r>
      <w:r w:rsidR="001C4BCE" w:rsidRPr="001E52FE">
        <w:t>s</w:t>
      </w:r>
      <w:r w:rsidR="00277737" w:rsidRPr="001E52FE">
        <w:t xml:space="preserve"> to monitor their behavior</w:t>
      </w:r>
      <w:r w:rsidR="00A55E91" w:rsidRPr="001E52FE">
        <w:t>’s immediate influence</w:t>
      </w:r>
      <w:r w:rsidR="00277737" w:rsidRPr="001E52FE">
        <w:t xml:space="preserve">. Further, </w:t>
      </w:r>
      <w:r w:rsidR="0045665C" w:rsidRPr="001E52FE">
        <w:t xml:space="preserve">it is not unusual for </w:t>
      </w:r>
      <w:r w:rsidR="00277737" w:rsidRPr="001E52FE">
        <w:t xml:space="preserve">advice recipients </w:t>
      </w:r>
      <w:r w:rsidR="00073019" w:rsidRPr="001E52FE">
        <w:t xml:space="preserve">to </w:t>
      </w:r>
      <w:r w:rsidR="00D60149" w:rsidRPr="001E52FE">
        <w:t>verbally indicate</w:t>
      </w:r>
      <w:r w:rsidR="00A8366A" w:rsidRPr="001E52FE">
        <w:t xml:space="preserve"> advice is problematic—</w:t>
      </w:r>
      <w:r w:rsidR="00376F95" w:rsidRPr="001E52FE">
        <w:t>through direct statements, pointing out draw</w:t>
      </w:r>
      <w:r w:rsidR="00B60050" w:rsidRPr="001E52FE">
        <w:t>backs, or implicit resistance</w:t>
      </w:r>
      <w:r w:rsidR="00A8366A" w:rsidRPr="001E52FE">
        <w:t>—</w:t>
      </w:r>
      <w:r w:rsidR="00277737" w:rsidRPr="001E52FE">
        <w:t xml:space="preserve">or for advisors to </w:t>
      </w:r>
      <w:r w:rsidR="00277737" w:rsidRPr="001E52FE">
        <w:lastRenderedPageBreak/>
        <w:t>display frustration when their</w:t>
      </w:r>
      <w:r w:rsidR="00641D64" w:rsidRPr="001E52FE">
        <w:t xml:space="preserve"> advice is resisted (MacGeorge et al.</w:t>
      </w:r>
      <w:r w:rsidR="00277737" w:rsidRPr="001E52FE">
        <w:t>, 2015</w:t>
      </w:r>
      <w:r w:rsidR="00BA4FDB" w:rsidRPr="001E52FE">
        <w:t>)</w:t>
      </w:r>
      <w:r w:rsidR="00277737" w:rsidRPr="001E52FE">
        <w:t xml:space="preserve">. </w:t>
      </w:r>
      <w:r w:rsidR="00BA4FDB" w:rsidRPr="001E52FE">
        <w:t>Such</w:t>
      </w:r>
      <w:r w:rsidR="00277737" w:rsidRPr="001E52FE">
        <w:t xml:space="preserve"> behaviors </w:t>
      </w:r>
      <w:r w:rsidR="00BA4FDB" w:rsidRPr="001E52FE">
        <w:t>indicate</w:t>
      </w:r>
      <w:r w:rsidR="00277737" w:rsidRPr="001E52FE">
        <w:t xml:space="preserve"> that </w:t>
      </w:r>
      <w:r w:rsidR="00D74247" w:rsidRPr="001E52FE">
        <w:t>advisor</w:t>
      </w:r>
      <w:r w:rsidR="00277737" w:rsidRPr="001E52FE">
        <w:t>s’</w:t>
      </w:r>
      <w:r w:rsidR="00D74247" w:rsidRPr="001E52FE">
        <w:t xml:space="preserve"> </w:t>
      </w:r>
      <w:r w:rsidR="00BA4FDB" w:rsidRPr="001E52FE">
        <w:t>perceptions of supportive interactions</w:t>
      </w:r>
      <w:r w:rsidR="00D74247" w:rsidRPr="001E52FE">
        <w:t xml:space="preserve"> </w:t>
      </w:r>
      <w:r w:rsidR="00277737" w:rsidRPr="001E52FE">
        <w:t>are</w:t>
      </w:r>
      <w:r w:rsidR="00D74247" w:rsidRPr="001E52FE">
        <w:t xml:space="preserve"> </w:t>
      </w:r>
      <w:r w:rsidR="00277737" w:rsidRPr="001E52FE">
        <w:t>influenced by</w:t>
      </w:r>
      <w:r w:rsidR="00D74247" w:rsidRPr="001E52FE">
        <w:t xml:space="preserve"> </w:t>
      </w:r>
      <w:r w:rsidR="00BA4FDB" w:rsidRPr="001E52FE">
        <w:t xml:space="preserve">recipient responses. Correspondingly, advisors’ evaluations of advice quality and their satisfaction with the conversation </w:t>
      </w:r>
      <w:r w:rsidR="002D2053" w:rsidRPr="001E52FE">
        <w:t>could be</w:t>
      </w:r>
      <w:r w:rsidR="00BA4FDB" w:rsidRPr="001E52FE">
        <w:t xml:space="preserve"> </w:t>
      </w:r>
      <w:r w:rsidR="004321CA" w:rsidRPr="001E52FE">
        <w:t>driven</w:t>
      </w:r>
      <w:r w:rsidR="00BA4FDB" w:rsidRPr="001E52FE">
        <w:t xml:space="preserve"> by recipient perceptions</w:t>
      </w:r>
      <w:r w:rsidR="00994C0E" w:rsidRPr="001E52FE">
        <w:t xml:space="preserve"> (as expressed through the advice interaction)</w:t>
      </w:r>
      <w:r w:rsidR="00BA4FDB" w:rsidRPr="001E52FE">
        <w:t xml:space="preserve"> rather than their own. </w:t>
      </w:r>
      <w:r w:rsidR="00B74CA7" w:rsidRPr="001E52FE">
        <w:t>T</w:t>
      </w:r>
      <w:r w:rsidR="00BA4FDB" w:rsidRPr="001E52FE">
        <w:t>his reasoning suggests that advisors will be more satisfied with a supportive conversation when recipients view the advice as high quality</w:t>
      </w:r>
      <w:r w:rsidR="000179F6" w:rsidRPr="001E52FE">
        <w:t xml:space="preserve"> and respond as such during the conversation</w:t>
      </w:r>
      <w:r w:rsidR="00BA4FDB" w:rsidRPr="001E52FE">
        <w:t xml:space="preserve">. Based on this prioritization of the recipient perspective, </w:t>
      </w:r>
      <w:r w:rsidR="006A3237" w:rsidRPr="00530F47">
        <w:t>the</w:t>
      </w:r>
      <w:r w:rsidR="006A3237" w:rsidRPr="001E52FE">
        <w:rPr>
          <w:i/>
        </w:rPr>
        <w:t xml:space="preserve"> recipient-dominant model</w:t>
      </w:r>
      <w:r w:rsidR="00BA4FDB" w:rsidRPr="001E52FE">
        <w:t xml:space="preserve"> proposes that </w:t>
      </w:r>
      <w:r w:rsidR="00D71389" w:rsidRPr="001E52FE">
        <w:t>although</w:t>
      </w:r>
      <w:r w:rsidR="00BA4FDB" w:rsidRPr="001E52FE">
        <w:t xml:space="preserve"> the recipient </w:t>
      </w:r>
      <w:r w:rsidR="00A62E6C">
        <w:t>evaluations</w:t>
      </w:r>
      <w:r w:rsidR="00BA4FDB" w:rsidRPr="001E52FE">
        <w:t xml:space="preserve"> will be driven by actor-effects, advisor advice quality and conversational satisfaction will be influenced by partner-effects (see Figure 1).</w:t>
      </w:r>
    </w:p>
    <w:p w14:paraId="53C2532F" w14:textId="550789AB" w:rsidR="005E3B0E" w:rsidRPr="001E52FE" w:rsidRDefault="00170432" w:rsidP="00FC2F58">
      <w:pPr>
        <w:spacing w:line="480" w:lineRule="auto"/>
        <w:ind w:firstLine="720"/>
      </w:pPr>
      <w:r w:rsidRPr="001E52FE">
        <w:rPr>
          <w:b/>
        </w:rPr>
        <w:t>Mutual influence model</w:t>
      </w:r>
      <w:r w:rsidR="00AD114E" w:rsidRPr="001E52FE">
        <w:rPr>
          <w:b/>
        </w:rPr>
        <w:t xml:space="preserve">: </w:t>
      </w:r>
      <w:r w:rsidR="006C33B2" w:rsidRPr="001E52FE">
        <w:rPr>
          <w:b/>
        </w:rPr>
        <w:t>A</w:t>
      </w:r>
      <w:r w:rsidR="00B81313" w:rsidRPr="001E52FE">
        <w:rPr>
          <w:b/>
        </w:rPr>
        <w:t>dvisors and recipients influence each other</w:t>
      </w:r>
      <w:r w:rsidR="00AD114E" w:rsidRPr="001E52FE">
        <w:rPr>
          <w:b/>
        </w:rPr>
        <w:t xml:space="preserve">. </w:t>
      </w:r>
      <w:r w:rsidR="003061E1" w:rsidRPr="001E52FE">
        <w:t xml:space="preserve">Finally, a model </w:t>
      </w:r>
      <w:r w:rsidR="003758CF" w:rsidRPr="001E52FE">
        <w:t xml:space="preserve">with all actor- and partner-effects </w:t>
      </w:r>
      <w:r w:rsidR="00773428" w:rsidRPr="001E52FE">
        <w:t>could best</w:t>
      </w:r>
      <w:r w:rsidR="003758CF" w:rsidRPr="001E52FE">
        <w:t xml:space="preserve"> </w:t>
      </w:r>
      <w:r w:rsidR="003061E1" w:rsidRPr="001E52FE">
        <w:t xml:space="preserve">represent </w:t>
      </w:r>
      <w:r w:rsidR="00AD6558" w:rsidRPr="001E52FE">
        <w:t>relationship</w:t>
      </w:r>
      <w:r w:rsidR="00D91D68" w:rsidRPr="001E52FE">
        <w:t>s</w:t>
      </w:r>
      <w:r w:rsidR="00AD6558" w:rsidRPr="001E52FE">
        <w:t xml:space="preserve"> between relational </w:t>
      </w:r>
      <w:r w:rsidR="003061E1" w:rsidRPr="001E52FE">
        <w:t>assessments</w:t>
      </w:r>
      <w:r w:rsidR="00AD6558" w:rsidRPr="001E52FE">
        <w:t xml:space="preserve">, advice quality, and conversational satisfaction for advisors and recipients. </w:t>
      </w:r>
      <w:r w:rsidR="00E07ECD" w:rsidRPr="001E52FE">
        <w:t xml:space="preserve">Communication scholars </w:t>
      </w:r>
      <w:r w:rsidR="003061E1" w:rsidRPr="001E52FE">
        <w:t>often conceptualize interaction as</w:t>
      </w:r>
      <w:r w:rsidR="00E07ECD" w:rsidRPr="001E52FE">
        <w:t xml:space="preserve"> a dynamic process between conversational partners, with both partners responding to messages, adjusting goals, and making inferences about partner intention (Caughlin, 2010; Goldsmith, 2004). </w:t>
      </w:r>
      <w:r w:rsidR="00A837F1" w:rsidRPr="001E52FE">
        <w:t xml:space="preserve">Thus, </w:t>
      </w:r>
      <w:r w:rsidR="008B69A4" w:rsidRPr="001E52FE">
        <w:t>although</w:t>
      </w:r>
      <w:r w:rsidR="00A837F1" w:rsidRPr="001E52FE">
        <w:t xml:space="preserve"> recipient</w:t>
      </w:r>
      <w:r w:rsidR="00A152F3" w:rsidRPr="001E52FE">
        <w:t xml:space="preserve"> </w:t>
      </w:r>
      <w:r w:rsidR="005F6D2F" w:rsidRPr="001E52FE">
        <w:t>perspective</w:t>
      </w:r>
      <w:r w:rsidR="00A837F1" w:rsidRPr="001E52FE">
        <w:t>s</w:t>
      </w:r>
      <w:r w:rsidR="005F6D2F" w:rsidRPr="001E52FE">
        <w:t xml:space="preserve"> may matter </w:t>
      </w:r>
      <w:r w:rsidR="0012292B" w:rsidRPr="001E52FE">
        <w:t xml:space="preserve">to advisors </w:t>
      </w:r>
      <w:r w:rsidR="005F6D2F" w:rsidRPr="001E52FE">
        <w:t>be</w:t>
      </w:r>
      <w:r w:rsidR="00A152F3" w:rsidRPr="001E52FE">
        <w:t xml:space="preserve">cause </w:t>
      </w:r>
      <w:r w:rsidR="0012292B" w:rsidRPr="001E52FE">
        <w:t xml:space="preserve">recipients </w:t>
      </w:r>
      <w:r w:rsidR="00A152F3" w:rsidRPr="001E52FE">
        <w:t>“own” the problem</w:t>
      </w:r>
      <w:r w:rsidR="0012292B" w:rsidRPr="001E52FE">
        <w:t>s</w:t>
      </w:r>
      <w:r w:rsidR="00A152F3" w:rsidRPr="001E52FE">
        <w:t xml:space="preserve"> and </w:t>
      </w:r>
      <w:r w:rsidR="0012292B" w:rsidRPr="001E52FE">
        <w:t xml:space="preserve">are </w:t>
      </w:r>
      <w:r w:rsidR="00026AE1" w:rsidRPr="001E52FE">
        <w:t>responsible</w:t>
      </w:r>
      <w:r w:rsidR="0012292B" w:rsidRPr="001E52FE">
        <w:t xml:space="preserve"> for taking problem-solving actions</w:t>
      </w:r>
      <w:r w:rsidR="00A152F3" w:rsidRPr="001E52FE">
        <w:t xml:space="preserve">, </w:t>
      </w:r>
      <w:r w:rsidR="0012292B" w:rsidRPr="001E52FE">
        <w:t>recipients</w:t>
      </w:r>
      <w:r w:rsidR="00A152F3" w:rsidRPr="001E52FE">
        <w:t xml:space="preserve"> may </w:t>
      </w:r>
      <w:r w:rsidR="0012292B" w:rsidRPr="001E52FE">
        <w:t xml:space="preserve">also be </w:t>
      </w:r>
      <w:r w:rsidR="007F2156" w:rsidRPr="001E52FE">
        <w:t>responsive to the advisor</w:t>
      </w:r>
      <w:r w:rsidR="0012292B" w:rsidRPr="001E52FE">
        <w:t xml:space="preserve"> point of view</w:t>
      </w:r>
      <w:r w:rsidR="00A152F3" w:rsidRPr="001E52FE">
        <w:t xml:space="preserve">. For example, </w:t>
      </w:r>
      <w:r w:rsidR="0012292B" w:rsidRPr="001E52FE">
        <w:t xml:space="preserve">prior research indicates that </w:t>
      </w:r>
      <w:r w:rsidR="00A152F3" w:rsidRPr="001E52FE">
        <w:t xml:space="preserve">advice recipients </w:t>
      </w:r>
      <w:r w:rsidR="0012292B" w:rsidRPr="001E52FE">
        <w:t xml:space="preserve">are </w:t>
      </w:r>
      <w:r w:rsidR="00A152F3" w:rsidRPr="001E52FE">
        <w:t xml:space="preserve">more likely to implement advice when the advisor </w:t>
      </w:r>
      <w:r w:rsidR="0012292B" w:rsidRPr="001E52FE">
        <w:t xml:space="preserve">expresses </w:t>
      </w:r>
      <w:r w:rsidR="00A152F3" w:rsidRPr="001E52FE">
        <w:t>confiden</w:t>
      </w:r>
      <w:r w:rsidR="0012292B" w:rsidRPr="001E52FE">
        <w:t xml:space="preserve">ce in it </w:t>
      </w:r>
      <w:r w:rsidR="001E7045" w:rsidRPr="001E52FE">
        <w:t>(</w:t>
      </w:r>
      <w:r w:rsidR="0046086C" w:rsidRPr="001E52FE">
        <w:t xml:space="preserve">Bonaccio </w:t>
      </w:r>
      <w:r w:rsidR="00C86EAE" w:rsidRPr="001E52FE">
        <w:t>&amp; Dalal, 2006</w:t>
      </w:r>
      <w:r w:rsidR="001E7045" w:rsidRPr="001E52FE">
        <w:t>)</w:t>
      </w:r>
      <w:r w:rsidR="00A152F3" w:rsidRPr="001E52FE">
        <w:t xml:space="preserve">, indicating that advisor perspectives may also </w:t>
      </w:r>
      <w:r w:rsidR="0012292B" w:rsidRPr="001E52FE">
        <w:t xml:space="preserve">be </w:t>
      </w:r>
      <w:r w:rsidR="00A152F3" w:rsidRPr="001E52FE">
        <w:t>associate</w:t>
      </w:r>
      <w:r w:rsidR="0012292B" w:rsidRPr="001E52FE">
        <w:t>d</w:t>
      </w:r>
      <w:r w:rsidR="00A152F3" w:rsidRPr="001E52FE">
        <w:t xml:space="preserve"> with recipient outcomes (i.e., partner-effects for recipients). </w:t>
      </w:r>
      <w:r w:rsidR="00AB7CA0" w:rsidRPr="001E52FE">
        <w:t xml:space="preserve">Thus, </w:t>
      </w:r>
      <w:r w:rsidR="002240A0" w:rsidRPr="001E52FE">
        <w:t>the</w:t>
      </w:r>
      <w:r w:rsidR="002240A0" w:rsidRPr="001E52FE">
        <w:rPr>
          <w:i/>
        </w:rPr>
        <w:t xml:space="preserve"> mutual influence model</w:t>
      </w:r>
      <w:r w:rsidR="00AB7CA0" w:rsidRPr="001E52FE">
        <w:t xml:space="preserve"> incorporates the recipient actor-effects (i.e., </w:t>
      </w:r>
      <w:r w:rsidR="00706DD1" w:rsidRPr="001E52FE">
        <w:t>H1-H3</w:t>
      </w:r>
      <w:r w:rsidR="00AB7CA0" w:rsidRPr="001E52FE">
        <w:t>), advisor actor-effects (</w:t>
      </w:r>
      <w:r w:rsidR="003423D9" w:rsidRPr="001E52FE">
        <w:rPr>
          <w:i/>
        </w:rPr>
        <w:t>independent perspectives model</w:t>
      </w:r>
      <w:r w:rsidR="00AB7CA0" w:rsidRPr="001E52FE">
        <w:t xml:space="preserve">), and advisor partner-effects </w:t>
      </w:r>
      <w:r w:rsidR="00AB7CA0" w:rsidRPr="001E52FE">
        <w:lastRenderedPageBreak/>
        <w:t>(</w:t>
      </w:r>
      <w:r w:rsidR="00861C7D" w:rsidRPr="001E52FE">
        <w:rPr>
          <w:i/>
        </w:rPr>
        <w:t>recipient-dominant model</w:t>
      </w:r>
      <w:r w:rsidR="00AB7CA0" w:rsidRPr="001E52FE">
        <w:t xml:space="preserve">), and </w:t>
      </w:r>
      <w:r w:rsidR="0012292B" w:rsidRPr="001E52FE">
        <w:t>adds</w:t>
      </w:r>
      <w:r w:rsidR="00AB7CA0" w:rsidRPr="001E52FE">
        <w:t xml:space="preserve"> recipient partner-effects</w:t>
      </w:r>
      <w:r w:rsidR="00A41A42" w:rsidRPr="001E52FE">
        <w:t xml:space="preserve"> (see Figure 1)</w:t>
      </w:r>
      <w:r w:rsidR="00AB7CA0" w:rsidRPr="001E52FE">
        <w:t xml:space="preserve">. </w:t>
      </w:r>
      <w:r w:rsidR="007C6C49" w:rsidRPr="001E52FE">
        <w:t>Because all three models are plausible given prior research, we pose a research question</w:t>
      </w:r>
      <w:r w:rsidR="008D18E2" w:rsidRPr="001E52FE">
        <w:t>:</w:t>
      </w:r>
    </w:p>
    <w:p w14:paraId="60FE19D9" w14:textId="77777777" w:rsidR="00EA1526" w:rsidRPr="001E52FE" w:rsidRDefault="000A7195" w:rsidP="00FC2F58">
      <w:pPr>
        <w:spacing w:line="480" w:lineRule="auto"/>
        <w:ind w:left="720"/>
      </w:pPr>
      <w:r w:rsidRPr="001E52FE">
        <w:rPr>
          <w:b/>
        </w:rPr>
        <w:t>RQ</w:t>
      </w:r>
      <w:r w:rsidR="0062593B" w:rsidRPr="001E52FE">
        <w:rPr>
          <w:b/>
        </w:rPr>
        <w:t>1</w:t>
      </w:r>
      <w:r w:rsidR="00EA1526" w:rsidRPr="001E52FE">
        <w:rPr>
          <w:b/>
        </w:rPr>
        <w:t>:</w:t>
      </w:r>
      <w:r w:rsidRPr="001E52FE">
        <w:t xml:space="preserve"> Does </w:t>
      </w:r>
      <w:r w:rsidR="003423D9" w:rsidRPr="001E52FE">
        <w:t xml:space="preserve">the independent perspectives model, </w:t>
      </w:r>
      <w:r w:rsidR="00553C95" w:rsidRPr="001E52FE">
        <w:t xml:space="preserve">the </w:t>
      </w:r>
      <w:r w:rsidR="00E602CB" w:rsidRPr="001E52FE">
        <w:t>recipient-dominant model</w:t>
      </w:r>
      <w:r w:rsidR="00353CAF" w:rsidRPr="001E52FE">
        <w:t xml:space="preserve">, </w:t>
      </w:r>
      <w:r w:rsidR="00486243" w:rsidRPr="001E52FE">
        <w:t xml:space="preserve">or the mutual influence model </w:t>
      </w:r>
      <w:r w:rsidRPr="001E52FE">
        <w:t xml:space="preserve">better represent </w:t>
      </w:r>
      <w:r w:rsidR="008D28C2" w:rsidRPr="001E52FE">
        <w:t xml:space="preserve">the interrelationships of </w:t>
      </w:r>
      <w:r w:rsidR="00426F10" w:rsidRPr="001E52FE">
        <w:t xml:space="preserve">advisor and recipient perceptions </w:t>
      </w:r>
      <w:r w:rsidR="002777C2" w:rsidRPr="001E52FE">
        <w:t>of relational assessments,</w:t>
      </w:r>
      <w:r w:rsidR="00426F10" w:rsidRPr="001E52FE">
        <w:t xml:space="preserve"> advice </w:t>
      </w:r>
      <w:r w:rsidR="002777C2" w:rsidRPr="001E52FE">
        <w:t xml:space="preserve">quality, </w:t>
      </w:r>
      <w:r w:rsidR="008D6E8A" w:rsidRPr="001E52FE">
        <w:t xml:space="preserve">and conversational </w:t>
      </w:r>
      <w:r w:rsidR="009024A6" w:rsidRPr="001E52FE">
        <w:t>satisfaction</w:t>
      </w:r>
      <w:r w:rsidRPr="001E52FE">
        <w:t>?</w:t>
      </w:r>
    </w:p>
    <w:p w14:paraId="0F3289A1" w14:textId="77777777" w:rsidR="00D64AA4" w:rsidRPr="001E52FE" w:rsidRDefault="00D64AA4" w:rsidP="00FC2F58">
      <w:pPr>
        <w:spacing w:line="480" w:lineRule="auto"/>
        <w:jc w:val="center"/>
        <w:rPr>
          <w:b/>
        </w:rPr>
      </w:pPr>
      <w:r w:rsidRPr="001E52FE">
        <w:rPr>
          <w:b/>
        </w:rPr>
        <w:t>Method</w:t>
      </w:r>
    </w:p>
    <w:p w14:paraId="20D69944" w14:textId="77777777" w:rsidR="00D64AA4" w:rsidRPr="001E52FE" w:rsidRDefault="00D64AA4" w:rsidP="00FC2F58">
      <w:pPr>
        <w:spacing w:line="480" w:lineRule="auto"/>
        <w:rPr>
          <w:rFonts w:eastAsia="Calibri" w:cs="Times New Roman"/>
        </w:rPr>
      </w:pPr>
      <w:r w:rsidRPr="001E52FE">
        <w:rPr>
          <w:rFonts w:eastAsia="Calibri" w:cs="Times New Roman"/>
          <w:b/>
        </w:rPr>
        <w:t>Participants</w:t>
      </w:r>
    </w:p>
    <w:p w14:paraId="63C28CE2" w14:textId="3654490B" w:rsidR="00D64AA4" w:rsidRPr="001E52FE" w:rsidRDefault="00D64AA4" w:rsidP="00FC2F58">
      <w:pPr>
        <w:spacing w:line="480" w:lineRule="auto"/>
        <w:rPr>
          <w:rFonts w:eastAsia="Calibri" w:cs="Times New Roman"/>
        </w:rPr>
      </w:pPr>
      <w:r w:rsidRPr="001E52FE">
        <w:rPr>
          <w:rFonts w:eastAsia="Calibri" w:cs="Times New Roman"/>
        </w:rPr>
        <w:tab/>
        <w:t xml:space="preserve">The data for this study </w:t>
      </w:r>
      <w:r w:rsidR="00743039" w:rsidRPr="001E52FE">
        <w:rPr>
          <w:rFonts w:eastAsia="Calibri" w:cs="Times New Roman"/>
        </w:rPr>
        <w:t>were obtained from a larger study of supportive interactions (</w:t>
      </w:r>
      <w:r w:rsidR="00743039" w:rsidRPr="001E52FE">
        <w:rPr>
          <w:rFonts w:eastAsia="Calibri" w:cs="Times New Roman"/>
          <w:i/>
        </w:rPr>
        <w:t>N</w:t>
      </w:r>
      <w:r w:rsidR="00743039" w:rsidRPr="001E52FE">
        <w:rPr>
          <w:rFonts w:eastAsia="Calibri" w:cs="Times New Roman"/>
        </w:rPr>
        <w:t xml:space="preserve"> = 359). </w:t>
      </w:r>
      <w:r w:rsidR="00AA04E2" w:rsidRPr="001E52FE">
        <w:rPr>
          <w:rFonts w:eastAsia="Calibri" w:cs="Times New Roman"/>
        </w:rPr>
        <w:t xml:space="preserve">The subset of cases </w:t>
      </w:r>
      <w:r w:rsidR="00CC387D" w:rsidRPr="001E52FE">
        <w:rPr>
          <w:rFonts w:eastAsia="Calibri" w:cs="Times New Roman"/>
        </w:rPr>
        <w:t xml:space="preserve">used for the current study </w:t>
      </w:r>
      <w:r w:rsidR="00AA04E2" w:rsidRPr="001E52FE">
        <w:rPr>
          <w:rFonts w:eastAsia="Calibri" w:cs="Times New Roman"/>
        </w:rPr>
        <w:t xml:space="preserve">were interactions in which both members </w:t>
      </w:r>
      <w:r w:rsidR="00743039" w:rsidRPr="001E52FE">
        <w:rPr>
          <w:rFonts w:eastAsia="Calibri" w:cs="Times New Roman"/>
        </w:rPr>
        <w:t xml:space="preserve">of the dyad independently </w:t>
      </w:r>
      <w:r w:rsidRPr="001E52FE">
        <w:rPr>
          <w:rFonts w:eastAsia="Calibri" w:cs="Times New Roman"/>
        </w:rPr>
        <w:t xml:space="preserve">agreed that advice was given </w:t>
      </w:r>
      <w:r w:rsidR="00743039" w:rsidRPr="001E52FE">
        <w:rPr>
          <w:rFonts w:eastAsia="Calibri" w:cs="Times New Roman"/>
        </w:rPr>
        <w:t xml:space="preserve">or received </w:t>
      </w:r>
      <w:r w:rsidRPr="001E52FE">
        <w:rPr>
          <w:rFonts w:eastAsia="Calibri" w:cs="Times New Roman"/>
        </w:rPr>
        <w:t>during the interaction (</w:t>
      </w:r>
      <w:r w:rsidRPr="001E52FE">
        <w:rPr>
          <w:rFonts w:eastAsia="Calibri" w:cs="Times New Roman"/>
          <w:i/>
        </w:rPr>
        <w:t>N</w:t>
      </w:r>
      <w:r w:rsidR="00D04653" w:rsidRPr="001E52FE">
        <w:rPr>
          <w:rFonts w:eastAsia="Calibri" w:cs="Times New Roman"/>
        </w:rPr>
        <w:t xml:space="preserve"> </w:t>
      </w:r>
      <w:r w:rsidRPr="001E52FE">
        <w:rPr>
          <w:rFonts w:eastAsia="Calibri" w:cs="Times New Roman"/>
        </w:rPr>
        <w:t>=</w:t>
      </w:r>
      <w:r w:rsidR="00D04653" w:rsidRPr="001E52FE">
        <w:rPr>
          <w:rFonts w:eastAsia="Calibri" w:cs="Times New Roman"/>
        </w:rPr>
        <w:t xml:space="preserve"> </w:t>
      </w:r>
      <w:r w:rsidRPr="001E52FE">
        <w:rPr>
          <w:rFonts w:eastAsia="Calibri" w:cs="Times New Roman"/>
        </w:rPr>
        <w:t>152 dyads)</w:t>
      </w:r>
      <w:r w:rsidR="00743039" w:rsidRPr="001E52FE">
        <w:rPr>
          <w:rFonts w:eastAsia="Calibri" w:cs="Times New Roman"/>
        </w:rPr>
        <w:t xml:space="preserve">. </w:t>
      </w:r>
      <w:r w:rsidRPr="001E52FE">
        <w:rPr>
          <w:rFonts w:eastAsia="Calibri" w:cs="Times New Roman"/>
        </w:rPr>
        <w:t>Participants were college students from a large Midwestern university</w:t>
      </w:r>
      <w:r w:rsidR="00743D03" w:rsidRPr="001E52FE">
        <w:rPr>
          <w:rFonts w:eastAsia="Calibri" w:cs="Times New Roman"/>
        </w:rPr>
        <w:t xml:space="preserve"> and received either extra credit or $10</w:t>
      </w:r>
      <w:r w:rsidR="00F30E2D" w:rsidRPr="001E52FE">
        <w:rPr>
          <w:rFonts w:eastAsia="Calibri" w:cs="Times New Roman"/>
        </w:rPr>
        <w:t xml:space="preserve"> for study participation</w:t>
      </w:r>
      <w:r w:rsidR="00CE453D" w:rsidRPr="001E52FE">
        <w:rPr>
          <w:rFonts w:eastAsia="Calibri" w:cs="Times New Roman"/>
        </w:rPr>
        <w:t xml:space="preserve">. </w:t>
      </w:r>
      <w:r w:rsidRPr="001E52FE">
        <w:rPr>
          <w:rFonts w:eastAsia="Calibri" w:cs="Times New Roman"/>
        </w:rPr>
        <w:t>The average participant age was 19.7 (</w:t>
      </w:r>
      <w:r w:rsidRPr="001E52FE">
        <w:rPr>
          <w:rFonts w:eastAsia="Calibri" w:cs="Times New Roman"/>
          <w:i/>
        </w:rPr>
        <w:t>SD</w:t>
      </w:r>
      <w:r w:rsidRPr="001E52FE">
        <w:rPr>
          <w:rFonts w:eastAsia="Calibri" w:cs="Times New Roman"/>
        </w:rPr>
        <w:t xml:space="preserve"> = 1.60) </w:t>
      </w:r>
      <w:r w:rsidR="008F7BEA" w:rsidRPr="001E52FE">
        <w:rPr>
          <w:rFonts w:eastAsia="Calibri" w:cs="Times New Roman"/>
        </w:rPr>
        <w:t xml:space="preserve">years old </w:t>
      </w:r>
      <w:r w:rsidRPr="001E52FE">
        <w:rPr>
          <w:rFonts w:eastAsia="Calibri" w:cs="Times New Roman"/>
        </w:rPr>
        <w:t xml:space="preserve">and 60.5% of participants were </w:t>
      </w:r>
      <w:r w:rsidR="00743039" w:rsidRPr="001E52FE">
        <w:rPr>
          <w:rFonts w:eastAsia="Calibri" w:cs="Times New Roman"/>
        </w:rPr>
        <w:t>f</w:t>
      </w:r>
      <w:r w:rsidRPr="001E52FE">
        <w:rPr>
          <w:rFonts w:eastAsia="Calibri" w:cs="Times New Roman"/>
        </w:rPr>
        <w:t>reshmen or sophomores. Fewer than one third (27.5%) were communication majors.</w:t>
      </w:r>
      <w:r w:rsidR="00647BF5" w:rsidRPr="001E52FE">
        <w:rPr>
          <w:rFonts w:eastAsia="Calibri" w:cs="Times New Roman"/>
        </w:rPr>
        <w:t xml:space="preserve"> </w:t>
      </w:r>
      <w:r w:rsidR="000D47DE" w:rsidRPr="001E52FE">
        <w:rPr>
          <w:rFonts w:eastAsia="Calibri" w:cs="Times New Roman"/>
        </w:rPr>
        <w:t>Most participants were female in both advisor and recipient roles (64.4% and 67.1% respectively). Approximately 74% of the dyads were same-sex (</w:t>
      </w:r>
      <w:r w:rsidR="000D47DE" w:rsidRPr="001E52FE">
        <w:rPr>
          <w:rFonts w:eastAsia="Calibri" w:cs="Times New Roman"/>
          <w:i/>
        </w:rPr>
        <w:t xml:space="preserve">n </w:t>
      </w:r>
      <w:r w:rsidR="000D47DE" w:rsidRPr="001E52FE">
        <w:rPr>
          <w:rFonts w:eastAsia="Calibri" w:cs="Times New Roman"/>
        </w:rPr>
        <w:t xml:space="preserve">= 33 male-male dyads; </w:t>
      </w:r>
      <w:r w:rsidR="000D47DE" w:rsidRPr="001E52FE">
        <w:rPr>
          <w:rFonts w:eastAsia="Calibri" w:cs="Times New Roman"/>
          <w:i/>
        </w:rPr>
        <w:t xml:space="preserve">n </w:t>
      </w:r>
      <w:r w:rsidR="000D47DE" w:rsidRPr="001E52FE">
        <w:rPr>
          <w:rFonts w:eastAsia="Calibri" w:cs="Times New Roman"/>
        </w:rPr>
        <w:t xml:space="preserve">= 80 female-female dyads), with 22 male advisor-female recipient dyads and 18 female advisor-male recipient dyads. </w:t>
      </w:r>
      <w:r w:rsidR="00B93BE7" w:rsidRPr="001E52FE">
        <w:rPr>
          <w:rFonts w:eastAsia="Calibri" w:cs="Times New Roman"/>
        </w:rPr>
        <w:t>P</w:t>
      </w:r>
      <w:r w:rsidR="00CF7A84" w:rsidRPr="001E52FE">
        <w:rPr>
          <w:rFonts w:eastAsia="Calibri" w:cs="Times New Roman"/>
        </w:rPr>
        <w:t xml:space="preserve">articipants </w:t>
      </w:r>
      <w:r w:rsidR="00B93BE7" w:rsidRPr="001E52FE">
        <w:rPr>
          <w:rFonts w:eastAsia="Calibri" w:cs="Times New Roman"/>
        </w:rPr>
        <w:t xml:space="preserve">described </w:t>
      </w:r>
      <w:r w:rsidR="00B216CF" w:rsidRPr="001E52FE">
        <w:rPr>
          <w:rFonts w:eastAsia="Calibri" w:cs="Times New Roman"/>
        </w:rPr>
        <w:t>the</w:t>
      </w:r>
      <w:r w:rsidR="00CA56BD" w:rsidRPr="001E52FE">
        <w:rPr>
          <w:rFonts w:eastAsia="Calibri" w:cs="Times New Roman"/>
        </w:rPr>
        <w:t>ir</w:t>
      </w:r>
      <w:r w:rsidR="00B216CF" w:rsidRPr="001E52FE">
        <w:rPr>
          <w:rFonts w:eastAsia="Calibri" w:cs="Times New Roman"/>
        </w:rPr>
        <w:t xml:space="preserve"> relationship </w:t>
      </w:r>
      <w:r w:rsidR="009511C8" w:rsidRPr="001E52FE">
        <w:rPr>
          <w:rFonts w:eastAsia="Calibri" w:cs="Times New Roman"/>
        </w:rPr>
        <w:t xml:space="preserve">with their conversation partner </w:t>
      </w:r>
      <w:r w:rsidR="00CA56BD" w:rsidRPr="001E52FE">
        <w:rPr>
          <w:rFonts w:eastAsia="Calibri" w:cs="Times New Roman"/>
        </w:rPr>
        <w:t>in an open-ended question</w:t>
      </w:r>
      <w:r w:rsidR="009511C8" w:rsidRPr="001E52FE">
        <w:rPr>
          <w:rFonts w:eastAsia="Calibri" w:cs="Times New Roman"/>
        </w:rPr>
        <w:t>:</w:t>
      </w:r>
      <w:r w:rsidR="00901D16" w:rsidRPr="001E52FE">
        <w:rPr>
          <w:rFonts w:eastAsia="Calibri" w:cs="Times New Roman"/>
        </w:rPr>
        <w:t xml:space="preserve"> 36</w:t>
      </w:r>
      <w:r w:rsidR="00B216CF" w:rsidRPr="001E52FE">
        <w:rPr>
          <w:rFonts w:eastAsia="Calibri" w:cs="Times New Roman"/>
        </w:rPr>
        <w:t xml:space="preserve">.3% described the </w:t>
      </w:r>
      <w:r w:rsidR="00752BE9" w:rsidRPr="001E52FE">
        <w:rPr>
          <w:rFonts w:eastAsia="Calibri" w:cs="Times New Roman"/>
        </w:rPr>
        <w:t>relationship</w:t>
      </w:r>
      <w:r w:rsidR="00B216CF" w:rsidRPr="001E52FE">
        <w:rPr>
          <w:rFonts w:eastAsia="Calibri" w:cs="Times New Roman"/>
        </w:rPr>
        <w:t xml:space="preserve"> as</w:t>
      </w:r>
      <w:r w:rsidR="00C66399" w:rsidRPr="001E52FE">
        <w:rPr>
          <w:rFonts w:eastAsia="Calibri" w:cs="Times New Roman"/>
        </w:rPr>
        <w:t xml:space="preserve"> best friends, 27</w:t>
      </w:r>
      <w:r w:rsidR="00B216CF" w:rsidRPr="001E52FE">
        <w:rPr>
          <w:rFonts w:eastAsia="Calibri" w:cs="Times New Roman"/>
        </w:rPr>
        <w:t>.</w:t>
      </w:r>
      <w:r w:rsidR="00C66399" w:rsidRPr="001E52FE">
        <w:rPr>
          <w:rFonts w:eastAsia="Calibri" w:cs="Times New Roman"/>
        </w:rPr>
        <w:t>8</w:t>
      </w:r>
      <w:r w:rsidR="00B216CF" w:rsidRPr="001E52FE">
        <w:rPr>
          <w:rFonts w:eastAsia="Calibri" w:cs="Times New Roman"/>
        </w:rPr>
        <w:t xml:space="preserve">% </w:t>
      </w:r>
      <w:r w:rsidR="002718CF" w:rsidRPr="001E52FE">
        <w:rPr>
          <w:rFonts w:eastAsia="Calibri" w:cs="Times New Roman"/>
        </w:rPr>
        <w:t>as</w:t>
      </w:r>
      <w:r w:rsidR="00C66399" w:rsidRPr="001E52FE">
        <w:rPr>
          <w:rFonts w:eastAsia="Calibri" w:cs="Times New Roman"/>
        </w:rPr>
        <w:t xml:space="preserve"> close or good friends, 24</w:t>
      </w:r>
      <w:r w:rsidR="00752BE9" w:rsidRPr="001E52FE">
        <w:rPr>
          <w:rFonts w:eastAsia="Calibri" w:cs="Times New Roman"/>
        </w:rPr>
        <w:t xml:space="preserve">.8% </w:t>
      </w:r>
      <w:r w:rsidR="002718CF" w:rsidRPr="001E52FE">
        <w:rPr>
          <w:rFonts w:eastAsia="Calibri" w:cs="Times New Roman"/>
        </w:rPr>
        <w:t>as</w:t>
      </w:r>
      <w:r w:rsidR="00752BE9" w:rsidRPr="001E52FE">
        <w:rPr>
          <w:rFonts w:eastAsia="Calibri" w:cs="Times New Roman"/>
        </w:rPr>
        <w:t xml:space="preserve"> friends, </w:t>
      </w:r>
      <w:r w:rsidR="00C66399" w:rsidRPr="001E52FE">
        <w:rPr>
          <w:rFonts w:eastAsia="Calibri" w:cs="Times New Roman"/>
        </w:rPr>
        <w:t>3.9</w:t>
      </w:r>
      <w:r w:rsidR="00752BE9" w:rsidRPr="001E52FE">
        <w:rPr>
          <w:rFonts w:eastAsia="Calibri" w:cs="Times New Roman"/>
        </w:rPr>
        <w:t xml:space="preserve">% as roommates, </w:t>
      </w:r>
      <w:r w:rsidR="00C66399" w:rsidRPr="001E52FE">
        <w:rPr>
          <w:rFonts w:eastAsia="Calibri" w:cs="Times New Roman"/>
        </w:rPr>
        <w:t>6.5</w:t>
      </w:r>
      <w:r w:rsidR="00752BE9" w:rsidRPr="001E52FE">
        <w:rPr>
          <w:rFonts w:eastAsia="Calibri" w:cs="Times New Roman"/>
        </w:rPr>
        <w:t xml:space="preserve">% </w:t>
      </w:r>
      <w:r w:rsidR="002718CF" w:rsidRPr="001E52FE">
        <w:rPr>
          <w:rFonts w:eastAsia="Calibri" w:cs="Times New Roman"/>
        </w:rPr>
        <w:t>as</w:t>
      </w:r>
      <w:r w:rsidR="00EA2967" w:rsidRPr="001E52FE">
        <w:rPr>
          <w:rFonts w:eastAsia="Calibri" w:cs="Times New Roman"/>
        </w:rPr>
        <w:t xml:space="preserve"> a</w:t>
      </w:r>
      <w:r w:rsidR="00752BE9" w:rsidRPr="001E52FE">
        <w:rPr>
          <w:rFonts w:eastAsia="Calibri" w:cs="Times New Roman"/>
        </w:rPr>
        <w:t xml:space="preserve"> romantic relationship</w:t>
      </w:r>
      <w:r w:rsidR="002438E6" w:rsidRPr="001E52FE">
        <w:rPr>
          <w:rFonts w:eastAsia="Calibri" w:cs="Times New Roman"/>
        </w:rPr>
        <w:t>, and .7% said “it’s complicated”</w:t>
      </w:r>
      <w:r w:rsidR="00752BE9" w:rsidRPr="001E52FE">
        <w:rPr>
          <w:rFonts w:eastAsia="Calibri" w:cs="Times New Roman"/>
        </w:rPr>
        <w:t xml:space="preserve">. </w:t>
      </w:r>
    </w:p>
    <w:p w14:paraId="39A3A95F" w14:textId="77777777" w:rsidR="00D64AA4" w:rsidRPr="001E52FE" w:rsidRDefault="00D64AA4" w:rsidP="00FC2F58">
      <w:pPr>
        <w:spacing w:line="480" w:lineRule="auto"/>
        <w:rPr>
          <w:rFonts w:eastAsia="Calibri" w:cs="Times New Roman"/>
          <w:b/>
        </w:rPr>
      </w:pPr>
      <w:r w:rsidRPr="001E52FE">
        <w:rPr>
          <w:rFonts w:eastAsia="Calibri" w:cs="Times New Roman"/>
          <w:b/>
        </w:rPr>
        <w:t>Procedures</w:t>
      </w:r>
    </w:p>
    <w:p w14:paraId="56A5713C" w14:textId="1F197349" w:rsidR="00D64AA4" w:rsidRPr="001E52FE" w:rsidRDefault="007C6C49" w:rsidP="00FC2F58">
      <w:pPr>
        <w:spacing w:line="480" w:lineRule="auto"/>
        <w:ind w:firstLine="720"/>
        <w:rPr>
          <w:rFonts w:eastAsia="Calibri" w:cs="Times New Roman"/>
        </w:rPr>
      </w:pPr>
      <w:r w:rsidRPr="001E52FE">
        <w:rPr>
          <w:rFonts w:eastAsia="Calibri" w:cs="Times New Roman"/>
        </w:rPr>
        <w:t xml:space="preserve">Recruited subjects </w:t>
      </w:r>
      <w:r w:rsidR="00D70758" w:rsidRPr="001E52FE">
        <w:rPr>
          <w:rFonts w:eastAsia="Calibri" w:cs="Times New Roman"/>
        </w:rPr>
        <w:t>brought a</w:t>
      </w:r>
      <w:r w:rsidR="00D64AA4" w:rsidRPr="001E52FE">
        <w:rPr>
          <w:rFonts w:eastAsia="Calibri" w:cs="Times New Roman"/>
        </w:rPr>
        <w:t xml:space="preserve"> friend with them to the </w:t>
      </w:r>
      <w:r w:rsidR="00D70758" w:rsidRPr="001E52FE">
        <w:rPr>
          <w:rFonts w:eastAsia="Calibri" w:cs="Times New Roman"/>
        </w:rPr>
        <w:t>study</w:t>
      </w:r>
      <w:r w:rsidR="00D64AA4" w:rsidRPr="001E52FE">
        <w:rPr>
          <w:rFonts w:eastAsia="Calibri" w:cs="Times New Roman"/>
        </w:rPr>
        <w:t xml:space="preserve"> </w:t>
      </w:r>
      <w:r w:rsidRPr="001E52FE">
        <w:rPr>
          <w:rFonts w:eastAsia="Calibri" w:cs="Times New Roman"/>
        </w:rPr>
        <w:t>to participate</w:t>
      </w:r>
      <w:r w:rsidR="00D64AA4" w:rsidRPr="001E52FE">
        <w:rPr>
          <w:rFonts w:eastAsia="Calibri" w:cs="Times New Roman"/>
        </w:rPr>
        <w:t xml:space="preserve"> as a dyad. </w:t>
      </w:r>
      <w:r w:rsidR="00296288" w:rsidRPr="001E52FE">
        <w:rPr>
          <w:rFonts w:eastAsia="Calibri" w:cs="Times New Roman"/>
        </w:rPr>
        <w:t xml:space="preserve">Both </w:t>
      </w:r>
      <w:r w:rsidR="00784FBF" w:rsidRPr="001E52FE">
        <w:rPr>
          <w:rFonts w:eastAsia="Calibri" w:cs="Times New Roman"/>
        </w:rPr>
        <w:t>participants</w:t>
      </w:r>
      <w:r w:rsidRPr="001E52FE">
        <w:rPr>
          <w:rFonts w:eastAsia="Calibri" w:cs="Times New Roman"/>
        </w:rPr>
        <w:t xml:space="preserve"> were</w:t>
      </w:r>
      <w:r w:rsidR="00D64AA4" w:rsidRPr="001E52FE">
        <w:rPr>
          <w:rFonts w:eastAsia="Calibri" w:cs="Times New Roman"/>
        </w:rPr>
        <w:t xml:space="preserve"> asked to individually list three to five problems, stresses, or hassles they were </w:t>
      </w:r>
      <w:r w:rsidR="00D64AA4" w:rsidRPr="001E52FE">
        <w:rPr>
          <w:rFonts w:eastAsia="Calibri" w:cs="Times New Roman"/>
        </w:rPr>
        <w:lastRenderedPageBreak/>
        <w:t>currently experiencing</w:t>
      </w:r>
      <w:r w:rsidR="00F9613C" w:rsidRPr="001E52FE">
        <w:rPr>
          <w:rFonts w:eastAsia="Calibri" w:cs="Times New Roman"/>
        </w:rPr>
        <w:t>. Participants rated</w:t>
      </w:r>
      <w:r w:rsidR="00BB1EC4" w:rsidRPr="001E52FE">
        <w:rPr>
          <w:rFonts w:eastAsia="Calibri" w:cs="Times New Roman"/>
        </w:rPr>
        <w:t xml:space="preserve"> </w:t>
      </w:r>
      <w:r w:rsidR="003B65A4" w:rsidRPr="001E52FE">
        <w:rPr>
          <w:rFonts w:eastAsia="Calibri" w:cs="Times New Roman"/>
        </w:rPr>
        <w:t>each</w:t>
      </w:r>
      <w:r w:rsidR="00996F40" w:rsidRPr="001E52FE">
        <w:rPr>
          <w:rFonts w:eastAsia="Calibri" w:cs="Times New Roman"/>
        </w:rPr>
        <w:t xml:space="preserve"> problem</w:t>
      </w:r>
      <w:r w:rsidR="00BB1EC4" w:rsidRPr="001E52FE">
        <w:rPr>
          <w:rFonts w:eastAsia="Calibri" w:cs="Times New Roman"/>
        </w:rPr>
        <w:t xml:space="preserve"> </w:t>
      </w:r>
      <w:r w:rsidR="00861374" w:rsidRPr="001E52FE">
        <w:rPr>
          <w:rFonts w:eastAsia="Calibri" w:cs="Times New Roman"/>
        </w:rPr>
        <w:t>on</w:t>
      </w:r>
      <w:r w:rsidRPr="001E52FE">
        <w:rPr>
          <w:rFonts w:eastAsia="Calibri" w:cs="Times New Roman"/>
        </w:rPr>
        <w:t xml:space="preserve"> seriousness</w:t>
      </w:r>
      <w:r w:rsidR="00861374" w:rsidRPr="001E52FE">
        <w:rPr>
          <w:rFonts w:eastAsia="Calibri" w:cs="Times New Roman"/>
        </w:rPr>
        <w:t>,</w:t>
      </w:r>
      <w:r w:rsidRPr="001E52FE">
        <w:rPr>
          <w:rFonts w:eastAsia="Calibri" w:cs="Times New Roman"/>
        </w:rPr>
        <w:t xml:space="preserve"> distress</w:t>
      </w:r>
      <w:r w:rsidR="003E44A4" w:rsidRPr="001E52FE">
        <w:rPr>
          <w:rFonts w:eastAsia="Calibri" w:cs="Times New Roman"/>
        </w:rPr>
        <w:t xml:space="preserve"> caused by the problem,</w:t>
      </w:r>
      <w:r w:rsidR="00CD53C3" w:rsidRPr="001E52FE">
        <w:rPr>
          <w:rFonts w:eastAsia="Calibri" w:cs="Times New Roman"/>
        </w:rPr>
        <w:t xml:space="preserve"> and whether they had previously talked to their partner about the problem</w:t>
      </w:r>
      <w:r w:rsidR="00D64AA4" w:rsidRPr="001E52FE">
        <w:rPr>
          <w:rFonts w:eastAsia="Calibri" w:cs="Times New Roman"/>
        </w:rPr>
        <w:t xml:space="preserve">. </w:t>
      </w:r>
      <w:r w:rsidR="0012292B" w:rsidRPr="001E52FE">
        <w:rPr>
          <w:rFonts w:cs="Times New Roman"/>
          <w:szCs w:val="24"/>
        </w:rPr>
        <w:t xml:space="preserve">A research assistant reviewed the pool of both participants’ problems and identified the single </w:t>
      </w:r>
      <w:r w:rsidRPr="001E52FE">
        <w:rPr>
          <w:rFonts w:cs="Times New Roman"/>
          <w:szCs w:val="24"/>
        </w:rPr>
        <w:t xml:space="preserve">most serious </w:t>
      </w:r>
      <w:r w:rsidR="0012292B" w:rsidRPr="001E52FE">
        <w:rPr>
          <w:rFonts w:cs="Times New Roman"/>
          <w:szCs w:val="24"/>
        </w:rPr>
        <w:t xml:space="preserve">problem </w:t>
      </w:r>
      <w:r w:rsidRPr="001E52FE">
        <w:rPr>
          <w:rFonts w:cs="Times New Roman"/>
          <w:szCs w:val="24"/>
        </w:rPr>
        <w:t>among</w:t>
      </w:r>
      <w:r w:rsidR="0012292B" w:rsidRPr="001E52FE">
        <w:rPr>
          <w:rFonts w:cs="Times New Roman"/>
          <w:szCs w:val="24"/>
        </w:rPr>
        <w:t xml:space="preserve"> those that had not been previously discussed between </w:t>
      </w:r>
      <w:r w:rsidR="00103918" w:rsidRPr="001E52FE">
        <w:rPr>
          <w:rFonts w:cs="Times New Roman"/>
          <w:szCs w:val="24"/>
        </w:rPr>
        <w:t>the dyad</w:t>
      </w:r>
      <w:r w:rsidR="0012292B" w:rsidRPr="001E52FE">
        <w:rPr>
          <w:rFonts w:cs="Times New Roman"/>
          <w:szCs w:val="24"/>
        </w:rPr>
        <w:t xml:space="preserve">. </w:t>
      </w:r>
      <w:r w:rsidR="005F7232" w:rsidRPr="001E52FE">
        <w:rPr>
          <w:rFonts w:cs="Times New Roman"/>
          <w:szCs w:val="24"/>
        </w:rPr>
        <w:t>If</w:t>
      </w:r>
      <w:r w:rsidR="0012292B" w:rsidRPr="001E52FE">
        <w:rPr>
          <w:rFonts w:cs="Times New Roman"/>
          <w:szCs w:val="24"/>
        </w:rPr>
        <w:t xml:space="preserve"> multiple problems met these criteria, the </w:t>
      </w:r>
      <w:r w:rsidRPr="001E52FE">
        <w:rPr>
          <w:rFonts w:cs="Times New Roman"/>
          <w:szCs w:val="24"/>
        </w:rPr>
        <w:t xml:space="preserve">most distressing </w:t>
      </w:r>
      <w:r w:rsidR="0012292B" w:rsidRPr="001E52FE">
        <w:rPr>
          <w:rFonts w:cs="Times New Roman"/>
          <w:szCs w:val="24"/>
        </w:rPr>
        <w:t xml:space="preserve">problem was chosen. </w:t>
      </w:r>
      <w:r w:rsidR="00D64AA4" w:rsidRPr="001E52FE">
        <w:rPr>
          <w:rFonts w:eastAsia="Calibri" w:cs="Times New Roman"/>
        </w:rPr>
        <w:t xml:space="preserve">The participant whose problem was selected was assigned the role of advice recipient and the other participant was assigned the role of advice giver: these labels were not communicated to participants, but determined subsequent procedures. Participants were separated and completed </w:t>
      </w:r>
      <w:r w:rsidR="00BB1EC4" w:rsidRPr="001E52FE">
        <w:rPr>
          <w:rFonts w:eastAsia="Calibri" w:cs="Times New Roman"/>
        </w:rPr>
        <w:t>the relational assessment measures</w:t>
      </w:r>
      <w:r w:rsidR="00D64AA4" w:rsidRPr="001E52FE">
        <w:rPr>
          <w:rFonts w:eastAsia="Calibri" w:cs="Times New Roman"/>
        </w:rPr>
        <w:t xml:space="preserve"> (i.e., partner </w:t>
      </w:r>
      <w:r w:rsidR="00BB1EC4" w:rsidRPr="001E52FE">
        <w:rPr>
          <w:rFonts w:eastAsia="Calibri" w:cs="Times New Roman"/>
        </w:rPr>
        <w:t>characteristics</w:t>
      </w:r>
      <w:r w:rsidR="00D64AA4" w:rsidRPr="001E52FE">
        <w:rPr>
          <w:rFonts w:eastAsia="Calibri" w:cs="Times New Roman"/>
        </w:rPr>
        <w:t xml:space="preserve">, interdependence, </w:t>
      </w:r>
      <w:r w:rsidR="007F70DA" w:rsidRPr="001E52FE">
        <w:rPr>
          <w:rFonts w:eastAsia="Calibri" w:cs="Times New Roman"/>
        </w:rPr>
        <w:t xml:space="preserve">closeness, </w:t>
      </w:r>
      <w:r w:rsidR="00D64AA4" w:rsidRPr="001E52FE">
        <w:rPr>
          <w:rFonts w:eastAsia="Calibri" w:cs="Times New Roman"/>
        </w:rPr>
        <w:t xml:space="preserve">past support). </w:t>
      </w:r>
      <w:r w:rsidR="00213DF8" w:rsidRPr="001E52FE">
        <w:rPr>
          <w:rFonts w:eastAsia="Calibri" w:cs="Times New Roman"/>
        </w:rPr>
        <w:t>P</w:t>
      </w:r>
      <w:r w:rsidR="00D64AA4" w:rsidRPr="001E52FE">
        <w:rPr>
          <w:rFonts w:eastAsia="Calibri" w:cs="Times New Roman"/>
        </w:rPr>
        <w:t>articipants were then reunited to discuss the selected recipient problem for up to 15 minutes. The dyad was again separated to complete questionnaires about the advice quality and conversational satisfaction. Only advisor</w:t>
      </w:r>
      <w:r w:rsidR="00BB1EC4" w:rsidRPr="001E52FE">
        <w:rPr>
          <w:rFonts w:eastAsia="Calibri" w:cs="Times New Roman"/>
        </w:rPr>
        <w:t>s</w:t>
      </w:r>
      <w:r w:rsidR="00D64AA4" w:rsidRPr="001E52FE">
        <w:rPr>
          <w:rFonts w:eastAsia="Calibri" w:cs="Times New Roman"/>
        </w:rPr>
        <w:t xml:space="preserve"> and recipients who</w:t>
      </w:r>
      <w:r w:rsidR="004F6322" w:rsidRPr="001E52FE">
        <w:rPr>
          <w:rFonts w:eastAsia="Calibri" w:cs="Times New Roman"/>
        </w:rPr>
        <w:t xml:space="preserve"> both</w:t>
      </w:r>
      <w:r w:rsidR="00D64AA4" w:rsidRPr="001E52FE">
        <w:rPr>
          <w:rFonts w:eastAsia="Calibri" w:cs="Times New Roman"/>
        </w:rPr>
        <w:t xml:space="preserve"> reported advice was given during the interaction were included in this study. </w:t>
      </w:r>
    </w:p>
    <w:p w14:paraId="23F5EED4" w14:textId="77777777" w:rsidR="00D64AA4" w:rsidRPr="001E52FE" w:rsidRDefault="00D64AA4" w:rsidP="00FC2F58">
      <w:pPr>
        <w:spacing w:line="480" w:lineRule="auto"/>
        <w:rPr>
          <w:rFonts w:eastAsia="Calibri" w:cs="Times New Roman"/>
          <w:b/>
        </w:rPr>
      </w:pPr>
      <w:r w:rsidRPr="001E52FE">
        <w:rPr>
          <w:rFonts w:eastAsia="Calibri" w:cs="Times New Roman"/>
          <w:b/>
        </w:rPr>
        <w:t>Measures</w:t>
      </w:r>
    </w:p>
    <w:p w14:paraId="2CD8014D" w14:textId="71D91875" w:rsidR="00D64AA4" w:rsidRPr="001E52FE" w:rsidRDefault="00D64AA4" w:rsidP="00FC2F58">
      <w:pPr>
        <w:spacing w:line="480" w:lineRule="auto"/>
        <w:rPr>
          <w:rFonts w:eastAsia="Calibri" w:cs="Times New Roman"/>
        </w:rPr>
      </w:pPr>
      <w:r w:rsidRPr="001E52FE">
        <w:rPr>
          <w:rFonts w:eastAsia="Calibri" w:cs="Times New Roman"/>
          <w:b/>
        </w:rPr>
        <w:tab/>
      </w:r>
      <w:r w:rsidR="00E43A7B" w:rsidRPr="001E52FE">
        <w:rPr>
          <w:rFonts w:eastAsia="Calibri" w:cs="Times New Roman"/>
        </w:rPr>
        <w:t>Confirmatory factor analyses (</w:t>
      </w:r>
      <w:r w:rsidRPr="001E52FE">
        <w:rPr>
          <w:rFonts w:eastAsia="Calibri" w:cs="Times New Roman"/>
        </w:rPr>
        <w:t>CFAs</w:t>
      </w:r>
      <w:r w:rsidR="00E43A7B" w:rsidRPr="001E52FE">
        <w:rPr>
          <w:rFonts w:eastAsia="Calibri" w:cs="Times New Roman"/>
        </w:rPr>
        <w:t>)</w:t>
      </w:r>
      <w:r w:rsidRPr="001E52FE">
        <w:rPr>
          <w:rFonts w:eastAsia="Calibri" w:cs="Times New Roman"/>
        </w:rPr>
        <w:t xml:space="preserve"> were conducted </w:t>
      </w:r>
      <w:r w:rsidR="003F5A9D">
        <w:rPr>
          <w:rFonts w:eastAsia="Calibri" w:cs="Times New Roman"/>
        </w:rPr>
        <w:t xml:space="preserve">for </w:t>
      </w:r>
      <w:r w:rsidR="00BF659D">
        <w:rPr>
          <w:rFonts w:eastAsia="Calibri" w:cs="Times New Roman"/>
        </w:rPr>
        <w:t xml:space="preserve">all measures, </w:t>
      </w:r>
      <w:r w:rsidR="00E01B8B">
        <w:rPr>
          <w:rFonts w:eastAsia="Calibri" w:cs="Times New Roman"/>
        </w:rPr>
        <w:t xml:space="preserve">and </w:t>
      </w:r>
      <w:r w:rsidR="00F97D63">
        <w:rPr>
          <w:rFonts w:eastAsia="Calibri" w:cs="Times New Roman"/>
        </w:rPr>
        <w:t xml:space="preserve">each </w:t>
      </w:r>
      <w:r w:rsidR="006C6B59">
        <w:rPr>
          <w:rFonts w:eastAsia="Calibri" w:cs="Times New Roman"/>
        </w:rPr>
        <w:t>measure</w:t>
      </w:r>
      <w:r w:rsidR="00F97D63">
        <w:rPr>
          <w:rFonts w:eastAsia="Calibri" w:cs="Times New Roman"/>
        </w:rPr>
        <w:t xml:space="preserve"> was assessed for </w:t>
      </w:r>
      <w:r w:rsidR="00085ED2">
        <w:rPr>
          <w:rFonts w:eastAsia="Calibri" w:cs="Times New Roman"/>
        </w:rPr>
        <w:t>invariance</w:t>
      </w:r>
      <w:r w:rsidR="00F97D63">
        <w:rPr>
          <w:rFonts w:eastAsia="Calibri" w:cs="Times New Roman"/>
        </w:rPr>
        <w:t xml:space="preserve"> between </w:t>
      </w:r>
      <w:r w:rsidR="00BF659D">
        <w:rPr>
          <w:rFonts w:eastAsia="Calibri" w:cs="Times New Roman"/>
        </w:rPr>
        <w:t>advisor</w:t>
      </w:r>
      <w:r w:rsidR="00F97D63">
        <w:rPr>
          <w:rFonts w:eastAsia="Calibri" w:cs="Times New Roman"/>
        </w:rPr>
        <w:t>s</w:t>
      </w:r>
      <w:r w:rsidR="00BF659D">
        <w:rPr>
          <w:rFonts w:eastAsia="Calibri" w:cs="Times New Roman"/>
        </w:rPr>
        <w:t xml:space="preserve"> and recipient</w:t>
      </w:r>
      <w:r w:rsidR="00F97D63">
        <w:rPr>
          <w:rFonts w:eastAsia="Calibri" w:cs="Times New Roman"/>
        </w:rPr>
        <w:t>s</w:t>
      </w:r>
      <w:r w:rsidR="001918D5">
        <w:rPr>
          <w:rFonts w:eastAsia="Calibri" w:cs="Times New Roman"/>
        </w:rPr>
        <w:t xml:space="preserve"> and for adequate model fit </w:t>
      </w:r>
      <w:r w:rsidR="00C23623">
        <w:rPr>
          <w:rFonts w:eastAsia="Calibri" w:cs="Times New Roman"/>
        </w:rPr>
        <w:t>(</w:t>
      </w:r>
      <w:r w:rsidR="001918D5">
        <w:rPr>
          <w:rFonts w:eastAsia="Calibri" w:cs="Times New Roman"/>
        </w:rPr>
        <w:t xml:space="preserve">see Table 1; </w:t>
      </w:r>
      <w:r w:rsidR="00C23623">
        <w:rPr>
          <w:rFonts w:eastAsia="Calibri" w:cs="Times New Roman"/>
        </w:rPr>
        <w:t>Kenny et al., 2006</w:t>
      </w:r>
      <w:r w:rsidR="00066C12">
        <w:rPr>
          <w:rFonts w:eastAsia="Calibri" w:cs="Times New Roman"/>
        </w:rPr>
        <w:t>; Kline, 2011</w:t>
      </w:r>
      <w:r w:rsidR="00C23623">
        <w:rPr>
          <w:rFonts w:eastAsia="Calibri" w:cs="Times New Roman"/>
        </w:rPr>
        <w:t>).</w:t>
      </w:r>
      <w:r w:rsidRPr="001E52FE">
        <w:rPr>
          <w:rFonts w:eastAsia="Calibri" w:cs="Times New Roman"/>
        </w:rPr>
        <w:t xml:space="preserve"> </w:t>
      </w:r>
    </w:p>
    <w:p w14:paraId="75B6A8FB" w14:textId="138571E3" w:rsidR="00D64AA4" w:rsidRPr="001E52FE" w:rsidRDefault="00D64AA4" w:rsidP="00FC2F58">
      <w:pPr>
        <w:spacing w:line="480" w:lineRule="auto"/>
        <w:rPr>
          <w:rFonts w:eastAsia="Calibri" w:cs="Times New Roman"/>
        </w:rPr>
      </w:pPr>
      <w:r w:rsidRPr="001E52FE">
        <w:rPr>
          <w:rFonts w:eastAsia="Calibri" w:cs="Times New Roman"/>
        </w:rPr>
        <w:tab/>
      </w:r>
      <w:r w:rsidR="009B2973" w:rsidRPr="001E52FE">
        <w:rPr>
          <w:rFonts w:eastAsia="Calibri" w:cs="Times New Roman"/>
          <w:b/>
        </w:rPr>
        <w:t xml:space="preserve">Partner </w:t>
      </w:r>
      <w:r w:rsidR="00A861C4" w:rsidRPr="001E52FE">
        <w:rPr>
          <w:b/>
        </w:rPr>
        <w:t>characteristics</w:t>
      </w:r>
      <w:r w:rsidRPr="001E52FE">
        <w:rPr>
          <w:rFonts w:eastAsia="Calibri" w:cs="Times New Roman"/>
          <w:b/>
        </w:rPr>
        <w:t xml:space="preserve">. </w:t>
      </w:r>
      <w:r w:rsidR="002A78E6" w:rsidRPr="001E52FE">
        <w:rPr>
          <w:rFonts w:eastAsia="Calibri" w:cs="Times New Roman"/>
        </w:rPr>
        <w:t>P</w:t>
      </w:r>
      <w:r w:rsidRPr="001E52FE">
        <w:rPr>
          <w:rFonts w:eastAsia="Calibri" w:cs="Times New Roman"/>
        </w:rPr>
        <w:t xml:space="preserve">artner </w:t>
      </w:r>
      <w:r w:rsidR="00A861C4" w:rsidRPr="001E52FE">
        <w:t xml:space="preserve">characteristics </w:t>
      </w:r>
      <w:r w:rsidRPr="001E52FE">
        <w:rPr>
          <w:rFonts w:eastAsia="Calibri" w:cs="Times New Roman"/>
        </w:rPr>
        <w:t xml:space="preserve">(labeled </w:t>
      </w:r>
      <w:r w:rsidR="008D2C69" w:rsidRPr="001E52FE">
        <w:rPr>
          <w:rFonts w:eastAsia="Calibri" w:cs="Times New Roman"/>
        </w:rPr>
        <w:t>“</w:t>
      </w:r>
      <w:r w:rsidRPr="001E52FE">
        <w:rPr>
          <w:rFonts w:eastAsia="Calibri" w:cs="Times New Roman"/>
        </w:rPr>
        <w:t>advisor characteristics</w:t>
      </w:r>
      <w:r w:rsidR="008D2C69" w:rsidRPr="001E52FE">
        <w:rPr>
          <w:rFonts w:eastAsia="Calibri" w:cs="Times New Roman"/>
        </w:rPr>
        <w:t>”</w:t>
      </w:r>
      <w:r w:rsidRPr="001E52FE">
        <w:rPr>
          <w:rFonts w:eastAsia="Calibri" w:cs="Times New Roman"/>
        </w:rPr>
        <w:t xml:space="preserve"> in </w:t>
      </w:r>
      <w:r w:rsidR="00EF7D58">
        <w:rPr>
          <w:rFonts w:eastAsia="Calibri" w:cs="Times New Roman"/>
        </w:rPr>
        <w:t>publications</w:t>
      </w:r>
      <w:r w:rsidR="008D2C69" w:rsidRPr="001E52FE">
        <w:rPr>
          <w:rFonts w:eastAsia="Calibri" w:cs="Times New Roman"/>
        </w:rPr>
        <w:t xml:space="preserve"> focused on the recipient’s perspective</w:t>
      </w:r>
      <w:r w:rsidRPr="001E52FE">
        <w:rPr>
          <w:rFonts w:eastAsia="Calibri" w:cs="Times New Roman"/>
        </w:rPr>
        <w:t xml:space="preserve">) </w:t>
      </w:r>
      <w:r w:rsidR="00A6418A" w:rsidRPr="001E52FE">
        <w:rPr>
          <w:rFonts w:eastAsia="Calibri" w:cs="Times New Roman"/>
        </w:rPr>
        <w:t>was modeled as a</w:t>
      </w:r>
      <w:r w:rsidR="000B5308" w:rsidRPr="001E52FE">
        <w:rPr>
          <w:rFonts w:eastAsia="Calibri" w:cs="Times New Roman"/>
        </w:rPr>
        <w:t xml:space="preserve"> second-order construct </w:t>
      </w:r>
      <w:r w:rsidR="00A6418A" w:rsidRPr="001E52FE">
        <w:rPr>
          <w:rFonts w:eastAsia="Calibri" w:cs="Times New Roman"/>
        </w:rPr>
        <w:t>with first-order rating</w:t>
      </w:r>
      <w:r w:rsidRPr="001E52FE">
        <w:rPr>
          <w:rFonts w:eastAsia="Calibri" w:cs="Times New Roman"/>
        </w:rPr>
        <w:t xml:space="preserve">s of liking, similarity, and trust of the partner. Five items were taken from Rubin’s (1970) Liking Scale (e.g., I think that my friend is one of those people who quickly wins respect”) and were measured on a 5-point scale (1 = </w:t>
      </w:r>
      <w:r w:rsidRPr="001E52FE">
        <w:rPr>
          <w:rFonts w:eastAsia="Calibri" w:cs="Times New Roman"/>
          <w:i/>
        </w:rPr>
        <w:t>strongly disagree</w:t>
      </w:r>
      <w:r w:rsidRPr="001E52FE">
        <w:rPr>
          <w:rFonts w:eastAsia="Calibri" w:cs="Times New Roman"/>
        </w:rPr>
        <w:t xml:space="preserve">, 5 = </w:t>
      </w:r>
      <w:r w:rsidRPr="001E52FE">
        <w:rPr>
          <w:rFonts w:eastAsia="Calibri" w:cs="Times New Roman"/>
          <w:i/>
        </w:rPr>
        <w:t>strongly agree</w:t>
      </w:r>
      <w:r w:rsidR="001A1B48" w:rsidRPr="001E52FE">
        <w:rPr>
          <w:rFonts w:eastAsia="Calibri" w:cs="Times New Roman"/>
        </w:rPr>
        <w:t xml:space="preserve">; Cronbach’s alpha </w:t>
      </w:r>
      <w:r w:rsidR="00BF6F7C" w:rsidRPr="001E52FE">
        <w:rPr>
          <w:rFonts w:eastAsia="Calibri" w:cs="Times New Roman"/>
        </w:rPr>
        <w:t>[</w:t>
      </w:r>
      <w:r w:rsidR="001A1B48" w:rsidRPr="001E52FE">
        <w:rPr>
          <w:rFonts w:eastAsia="Calibri" w:cs="Times New Roman"/>
        </w:rPr>
        <w:t xml:space="preserve">henceforth </w:t>
      </w:r>
      <w:r w:rsidR="001A1B48" w:rsidRPr="001E52FE">
        <w:rPr>
          <w:rFonts w:eastAsia="Calibri" w:cs="Times New Roman"/>
          <w:i/>
        </w:rPr>
        <w:t>α</w:t>
      </w:r>
      <w:r w:rsidR="00BF6F7C" w:rsidRPr="001E52FE">
        <w:rPr>
          <w:rFonts w:eastAsia="Calibri" w:cs="Times New Roman"/>
        </w:rPr>
        <w:t>]</w:t>
      </w:r>
      <w:r w:rsidR="0020239A" w:rsidRPr="001E52FE">
        <w:rPr>
          <w:rFonts w:eastAsia="Calibri" w:cs="Times New Roman"/>
        </w:rPr>
        <w:t xml:space="preserve"> = </w:t>
      </w:r>
      <w:r w:rsidR="00BF6F7C" w:rsidRPr="001E52FE">
        <w:rPr>
          <w:rFonts w:eastAsia="Calibri" w:cs="Times New Roman"/>
        </w:rPr>
        <w:t>.79, .82 [</w:t>
      </w:r>
      <w:r w:rsidR="00713106" w:rsidRPr="001E52FE">
        <w:rPr>
          <w:rFonts w:eastAsia="Calibri" w:cs="Times New Roman"/>
        </w:rPr>
        <w:t xml:space="preserve">hereafter </w:t>
      </w:r>
      <w:r w:rsidR="00BF6F7C" w:rsidRPr="001E52FE">
        <w:rPr>
          <w:rFonts w:eastAsia="Calibri" w:cs="Times New Roman"/>
        </w:rPr>
        <w:t>respectively listed as advisor and recipient)</w:t>
      </w:r>
      <w:r w:rsidRPr="001E52FE">
        <w:rPr>
          <w:rFonts w:eastAsia="Calibri" w:cs="Times New Roman"/>
        </w:rPr>
        <w:t xml:space="preserve">. </w:t>
      </w:r>
      <w:r w:rsidRPr="001E52FE">
        <w:rPr>
          <w:rFonts w:eastAsia="Calibri" w:cs="Times New Roman"/>
        </w:rPr>
        <w:lastRenderedPageBreak/>
        <w:t xml:space="preserve">Four items from the Perceived Homophily Scale (McCroskey, Richmond, &amp; Daly, 1975) assessed partner similarity to self (e.g., 1 = </w:t>
      </w:r>
      <w:r w:rsidRPr="001E52FE">
        <w:rPr>
          <w:rFonts w:eastAsia="Calibri" w:cs="Times New Roman"/>
          <w:i/>
        </w:rPr>
        <w:t>doesn’t think like me</w:t>
      </w:r>
      <w:r w:rsidRPr="001E52FE">
        <w:rPr>
          <w:rFonts w:eastAsia="Calibri" w:cs="Times New Roman"/>
        </w:rPr>
        <w:t xml:space="preserve">, 7 = </w:t>
      </w:r>
      <w:r w:rsidRPr="001E52FE">
        <w:rPr>
          <w:rFonts w:eastAsia="Calibri" w:cs="Times New Roman"/>
          <w:i/>
        </w:rPr>
        <w:t>thinks like me</w:t>
      </w:r>
      <w:r w:rsidR="009D70CB" w:rsidRPr="001E52FE">
        <w:rPr>
          <w:rFonts w:eastAsia="Calibri" w:cs="Times New Roman"/>
        </w:rPr>
        <w:t xml:space="preserve">; </w:t>
      </w:r>
      <w:r w:rsidR="009D70CB" w:rsidRPr="001E52FE">
        <w:rPr>
          <w:rFonts w:eastAsia="Calibri" w:cs="Times New Roman"/>
          <w:i/>
        </w:rPr>
        <w:t>α</w:t>
      </w:r>
      <w:r w:rsidR="009D70CB" w:rsidRPr="001E52FE">
        <w:rPr>
          <w:rFonts w:eastAsia="Calibri" w:cs="Times New Roman"/>
        </w:rPr>
        <w:t xml:space="preserve"> = .84, .83</w:t>
      </w:r>
      <w:r w:rsidRPr="001E52FE">
        <w:rPr>
          <w:rFonts w:eastAsia="Calibri" w:cs="Times New Roman"/>
        </w:rPr>
        <w:t xml:space="preserve">). Six items from the Individualized Trust Scale </w:t>
      </w:r>
      <w:r w:rsidR="00824ACC" w:rsidRPr="001E52FE">
        <w:rPr>
          <w:rFonts w:eastAsia="Calibri" w:cs="Times New Roman"/>
        </w:rPr>
        <w:t>(Wheeless &amp; Grotz, 1977)</w:t>
      </w:r>
      <w:r w:rsidRPr="001E52FE">
        <w:rPr>
          <w:rFonts w:eastAsia="Calibri" w:cs="Times New Roman"/>
        </w:rPr>
        <w:t xml:space="preserve"> measure</w:t>
      </w:r>
      <w:r w:rsidR="00824ACC" w:rsidRPr="001E52FE">
        <w:rPr>
          <w:rFonts w:eastAsia="Calibri" w:cs="Times New Roman"/>
        </w:rPr>
        <w:t>d</w:t>
      </w:r>
      <w:r w:rsidRPr="001E52FE">
        <w:rPr>
          <w:rFonts w:eastAsia="Calibri" w:cs="Times New Roman"/>
        </w:rPr>
        <w:t xml:space="preserve"> trust on a semantic differential scale (e.g., 1 = </w:t>
      </w:r>
      <w:r w:rsidRPr="001E52FE">
        <w:rPr>
          <w:rFonts w:eastAsia="Calibri" w:cs="Times New Roman"/>
          <w:i/>
        </w:rPr>
        <w:t>is untrustworthy</w:t>
      </w:r>
      <w:r w:rsidRPr="001E52FE">
        <w:rPr>
          <w:rFonts w:eastAsia="Calibri" w:cs="Times New Roman"/>
        </w:rPr>
        <w:t xml:space="preserve">, 7 = </w:t>
      </w:r>
      <w:r w:rsidRPr="001E52FE">
        <w:rPr>
          <w:rFonts w:eastAsia="Calibri" w:cs="Times New Roman"/>
          <w:i/>
        </w:rPr>
        <w:t>is trustworthy</w:t>
      </w:r>
      <w:r w:rsidR="009D70CB" w:rsidRPr="001E52FE">
        <w:rPr>
          <w:rFonts w:eastAsia="Calibri" w:cs="Times New Roman"/>
        </w:rPr>
        <w:t xml:space="preserve">; </w:t>
      </w:r>
      <w:r w:rsidR="009D70CB" w:rsidRPr="001E52FE">
        <w:rPr>
          <w:rFonts w:eastAsia="Calibri" w:cs="Times New Roman"/>
          <w:i/>
        </w:rPr>
        <w:t>α</w:t>
      </w:r>
      <w:r w:rsidR="009D70CB" w:rsidRPr="001E52FE">
        <w:rPr>
          <w:rFonts w:eastAsia="Calibri" w:cs="Times New Roman"/>
        </w:rPr>
        <w:t xml:space="preserve"> = .76, .73</w:t>
      </w:r>
      <w:r w:rsidRPr="001E52FE">
        <w:rPr>
          <w:rFonts w:eastAsia="Calibri" w:cs="Times New Roman"/>
        </w:rPr>
        <w:t xml:space="preserve">). </w:t>
      </w:r>
    </w:p>
    <w:p w14:paraId="7B7DA65B" w14:textId="77777777" w:rsidR="00D64AA4" w:rsidRPr="001E52FE" w:rsidRDefault="00D64AA4" w:rsidP="00FC2F58">
      <w:pPr>
        <w:spacing w:line="480" w:lineRule="auto"/>
        <w:rPr>
          <w:rFonts w:eastAsia="Calibri" w:cs="Times New Roman"/>
        </w:rPr>
      </w:pPr>
      <w:r w:rsidRPr="001E52FE">
        <w:rPr>
          <w:rFonts w:eastAsia="Calibri" w:cs="Times New Roman"/>
        </w:rPr>
        <w:tab/>
      </w:r>
      <w:r w:rsidR="00FD3C09" w:rsidRPr="001E52FE">
        <w:rPr>
          <w:rFonts w:eastAsia="Calibri" w:cs="Times New Roman"/>
          <w:b/>
        </w:rPr>
        <w:t>Interdependence</w:t>
      </w:r>
      <w:r w:rsidRPr="001E52FE">
        <w:rPr>
          <w:rFonts w:eastAsia="Calibri" w:cs="Times New Roman"/>
          <w:b/>
        </w:rPr>
        <w:t xml:space="preserve">. </w:t>
      </w:r>
      <w:r w:rsidRPr="001E52FE">
        <w:rPr>
          <w:rFonts w:eastAsia="Calibri" w:cs="Times New Roman"/>
        </w:rPr>
        <w:t>Interdependence between the advisor and recipient was assessed with five items slightly modified from Knobloch and Solomon (2003; e.g., “My friend affects how I schedule my activities”)</w:t>
      </w:r>
      <w:r w:rsidR="00420710" w:rsidRPr="001E52FE">
        <w:rPr>
          <w:rFonts w:eastAsia="Calibri" w:cs="Times New Roman"/>
        </w:rPr>
        <w:t xml:space="preserve"> measured on a 5-point scale </w:t>
      </w:r>
      <w:r w:rsidR="000421A5" w:rsidRPr="001E52FE">
        <w:rPr>
          <w:rFonts w:eastAsia="Calibri" w:cs="Times New Roman"/>
        </w:rPr>
        <w:t xml:space="preserve">(1 = </w:t>
      </w:r>
      <w:r w:rsidR="000421A5" w:rsidRPr="001E52FE">
        <w:rPr>
          <w:rFonts w:eastAsia="Calibri" w:cs="Times New Roman"/>
          <w:i/>
        </w:rPr>
        <w:t>strongly disagree</w:t>
      </w:r>
      <w:r w:rsidR="000421A5" w:rsidRPr="001E52FE">
        <w:rPr>
          <w:rFonts w:eastAsia="Calibri" w:cs="Times New Roman"/>
        </w:rPr>
        <w:t xml:space="preserve">, 5 = </w:t>
      </w:r>
      <w:r w:rsidR="000421A5" w:rsidRPr="001E52FE">
        <w:rPr>
          <w:rFonts w:eastAsia="Calibri" w:cs="Times New Roman"/>
          <w:i/>
        </w:rPr>
        <w:t>strongly agree</w:t>
      </w:r>
      <w:r w:rsidR="007C4158" w:rsidRPr="001E52FE">
        <w:rPr>
          <w:rFonts w:eastAsia="Calibri" w:cs="Times New Roman"/>
        </w:rPr>
        <w:t xml:space="preserve">; </w:t>
      </w:r>
      <w:r w:rsidR="007C4158" w:rsidRPr="001E52FE">
        <w:rPr>
          <w:rFonts w:eastAsia="Calibri" w:cs="Times New Roman"/>
          <w:i/>
        </w:rPr>
        <w:t>α</w:t>
      </w:r>
      <w:r w:rsidR="007C4158" w:rsidRPr="001E52FE">
        <w:rPr>
          <w:rFonts w:eastAsia="Calibri" w:cs="Times New Roman"/>
        </w:rPr>
        <w:t xml:space="preserve"> = .</w:t>
      </w:r>
      <w:r w:rsidR="00CB63F5" w:rsidRPr="001E52FE">
        <w:rPr>
          <w:rFonts w:eastAsia="Calibri" w:cs="Times New Roman"/>
        </w:rPr>
        <w:t>81</w:t>
      </w:r>
      <w:r w:rsidR="007C4158" w:rsidRPr="001E52FE">
        <w:rPr>
          <w:rFonts w:eastAsia="Calibri" w:cs="Times New Roman"/>
        </w:rPr>
        <w:t>, .</w:t>
      </w:r>
      <w:r w:rsidR="00CB63F5" w:rsidRPr="001E52FE">
        <w:rPr>
          <w:rFonts w:eastAsia="Calibri" w:cs="Times New Roman"/>
        </w:rPr>
        <w:t>8</w:t>
      </w:r>
      <w:r w:rsidR="007C4158" w:rsidRPr="001E52FE">
        <w:rPr>
          <w:rFonts w:eastAsia="Calibri" w:cs="Times New Roman"/>
        </w:rPr>
        <w:t>7</w:t>
      </w:r>
      <w:r w:rsidR="000421A5" w:rsidRPr="001E52FE">
        <w:rPr>
          <w:rFonts w:eastAsia="Calibri" w:cs="Times New Roman"/>
        </w:rPr>
        <w:t>)</w:t>
      </w:r>
      <w:r w:rsidRPr="001E52FE">
        <w:rPr>
          <w:rFonts w:eastAsia="Calibri" w:cs="Times New Roman"/>
        </w:rPr>
        <w:t xml:space="preserve">. </w:t>
      </w:r>
    </w:p>
    <w:p w14:paraId="1E63F6F5" w14:textId="657F54BF" w:rsidR="003A0BB3" w:rsidRPr="001E52FE" w:rsidRDefault="003A0BB3" w:rsidP="00FC2F58">
      <w:pPr>
        <w:autoSpaceDE w:val="0"/>
        <w:autoSpaceDN w:val="0"/>
        <w:adjustRightInd w:val="0"/>
        <w:spacing w:line="480" w:lineRule="auto"/>
        <w:rPr>
          <w:rFonts w:eastAsia="Calibri" w:cs="Times New Roman"/>
        </w:rPr>
      </w:pPr>
      <w:r w:rsidRPr="001E52FE">
        <w:rPr>
          <w:rFonts w:cs="Times New Roman"/>
        </w:rPr>
        <w:tab/>
      </w:r>
      <w:r w:rsidRPr="001E52FE">
        <w:rPr>
          <w:rFonts w:cs="Times New Roman"/>
          <w:b/>
        </w:rPr>
        <w:t xml:space="preserve">Closeness. </w:t>
      </w:r>
      <w:r w:rsidRPr="001E52FE">
        <w:rPr>
          <w:rFonts w:cs="Times New Roman"/>
        </w:rPr>
        <w:t>Participants rated th</w:t>
      </w:r>
      <w:r w:rsidR="008F6E96">
        <w:rPr>
          <w:rFonts w:cs="Times New Roman"/>
        </w:rPr>
        <w:t>eir relational closeness on six</w:t>
      </w:r>
      <w:r w:rsidRPr="001E52FE">
        <w:rPr>
          <w:rFonts w:cs="Times New Roman"/>
        </w:rPr>
        <w:t xml:space="preserve"> items from the Depth subscale of the Quality of Relationships Inventory (Pierce, 1994; e.g., “How significant is this relationship in your life?”) on a 4-point scale (1 = </w:t>
      </w:r>
      <w:r w:rsidRPr="001E52FE">
        <w:rPr>
          <w:rFonts w:cs="Times New Roman"/>
          <w:i/>
        </w:rPr>
        <w:t>not at all</w:t>
      </w:r>
      <w:r w:rsidRPr="001E52FE">
        <w:rPr>
          <w:rFonts w:cs="Times New Roman"/>
        </w:rPr>
        <w:t xml:space="preserve">, 4 = </w:t>
      </w:r>
      <w:r w:rsidRPr="001E52FE">
        <w:rPr>
          <w:rFonts w:cs="Times New Roman"/>
          <w:i/>
        </w:rPr>
        <w:t>very much</w:t>
      </w:r>
      <w:r w:rsidR="00CB63F5" w:rsidRPr="001E52FE">
        <w:rPr>
          <w:rFonts w:eastAsia="Calibri" w:cs="Times New Roman"/>
        </w:rPr>
        <w:t xml:space="preserve">; </w:t>
      </w:r>
      <w:r w:rsidR="00CB63F5" w:rsidRPr="001E52FE">
        <w:rPr>
          <w:rFonts w:eastAsia="Calibri" w:cs="Times New Roman"/>
          <w:i/>
        </w:rPr>
        <w:t>α</w:t>
      </w:r>
      <w:r w:rsidR="00CB63F5" w:rsidRPr="001E52FE">
        <w:rPr>
          <w:rFonts w:eastAsia="Calibri" w:cs="Times New Roman"/>
        </w:rPr>
        <w:t xml:space="preserve"> = .</w:t>
      </w:r>
      <w:r w:rsidR="001129D0" w:rsidRPr="001E52FE">
        <w:rPr>
          <w:rFonts w:eastAsia="Calibri" w:cs="Times New Roman"/>
        </w:rPr>
        <w:t>87</w:t>
      </w:r>
      <w:r w:rsidR="00CB63F5" w:rsidRPr="001E52FE">
        <w:rPr>
          <w:rFonts w:eastAsia="Calibri" w:cs="Times New Roman"/>
        </w:rPr>
        <w:t>, .</w:t>
      </w:r>
      <w:r w:rsidR="001129D0" w:rsidRPr="001E52FE">
        <w:rPr>
          <w:rFonts w:eastAsia="Calibri" w:cs="Times New Roman"/>
        </w:rPr>
        <w:t>90</w:t>
      </w:r>
      <w:r w:rsidRPr="001E52FE">
        <w:rPr>
          <w:rFonts w:cs="Times New Roman"/>
        </w:rPr>
        <w:t xml:space="preserve">). </w:t>
      </w:r>
    </w:p>
    <w:p w14:paraId="7C05DF41" w14:textId="567C2328" w:rsidR="00D64AA4" w:rsidRPr="001E52FE" w:rsidRDefault="00D64AA4" w:rsidP="00FC2F58">
      <w:pPr>
        <w:spacing w:line="480" w:lineRule="auto"/>
        <w:rPr>
          <w:rFonts w:cs="Times New Roman"/>
        </w:rPr>
      </w:pPr>
      <w:r w:rsidRPr="001E52FE">
        <w:rPr>
          <w:rFonts w:eastAsia="Calibri" w:cs="Times New Roman"/>
        </w:rPr>
        <w:tab/>
      </w:r>
      <w:r w:rsidR="005C7DCB" w:rsidRPr="001E52FE">
        <w:rPr>
          <w:rFonts w:eastAsia="Calibri" w:cs="Times New Roman"/>
          <w:b/>
        </w:rPr>
        <w:t>Past</w:t>
      </w:r>
      <w:r w:rsidR="005C7DCB" w:rsidRPr="001E52FE">
        <w:rPr>
          <w:rFonts w:eastAsia="Calibri" w:cs="Times New Roman"/>
        </w:rPr>
        <w:t xml:space="preserve"> </w:t>
      </w:r>
      <w:r w:rsidR="00FD3C09" w:rsidRPr="001E52FE">
        <w:rPr>
          <w:rFonts w:eastAsia="Calibri" w:cs="Times New Roman"/>
          <w:b/>
        </w:rPr>
        <w:t>support</w:t>
      </w:r>
      <w:r w:rsidRPr="001E52FE">
        <w:rPr>
          <w:rFonts w:eastAsia="Calibri" w:cs="Times New Roman"/>
          <w:b/>
        </w:rPr>
        <w:t xml:space="preserve">. </w:t>
      </w:r>
      <w:r w:rsidRPr="001E52FE">
        <w:rPr>
          <w:rFonts w:eastAsia="Calibri" w:cs="Times New Roman"/>
        </w:rPr>
        <w:t xml:space="preserve">Participant perceptions of </w:t>
      </w:r>
      <w:r w:rsidR="005C7DCB" w:rsidRPr="001E52FE">
        <w:rPr>
          <w:rFonts w:eastAsia="Calibri" w:cs="Times New Roman"/>
        </w:rPr>
        <w:t xml:space="preserve">past </w:t>
      </w:r>
      <w:r w:rsidRPr="001E52FE">
        <w:rPr>
          <w:rFonts w:eastAsia="Calibri" w:cs="Times New Roman"/>
        </w:rPr>
        <w:t xml:space="preserve">received support from their partner </w:t>
      </w:r>
      <w:r w:rsidR="00E746B8">
        <w:rPr>
          <w:rFonts w:eastAsia="Calibri" w:cs="Times New Roman"/>
        </w:rPr>
        <w:t>were</w:t>
      </w:r>
      <w:r w:rsidRPr="001E52FE">
        <w:rPr>
          <w:rFonts w:eastAsia="Calibri" w:cs="Times New Roman"/>
        </w:rPr>
        <w:t xml:space="preserve"> assessed with 14 items from Xu and Burleson’s (2001) experienced support scale. </w:t>
      </w:r>
      <w:r w:rsidR="00CC51BD" w:rsidRPr="001E52FE">
        <w:t xml:space="preserve">The scale </w:t>
      </w:r>
      <w:r w:rsidR="00A75F82" w:rsidRPr="001E52FE">
        <w:t>includes four types of support</w:t>
      </w:r>
      <w:r w:rsidR="00247C13" w:rsidRPr="001E52FE">
        <w:t>, which were used to represent a second-order construct</w:t>
      </w:r>
      <w:r w:rsidR="00CC51BD" w:rsidRPr="001E52FE">
        <w:t xml:space="preserve">: emotional support (conveying care and sympathy), informational support (giving advice and information), esteem support (bolstering self-worth and expressing liking), and network support (providing connections to others and a sense of belonging). </w:t>
      </w:r>
      <w:r w:rsidRPr="001E52FE">
        <w:rPr>
          <w:rFonts w:eastAsia="Calibri" w:cs="Times New Roman"/>
        </w:rPr>
        <w:t xml:space="preserve">All items started with the stem “Please use the scale below to indicate how much of each behavior you currently receive from your friend…” and were measured on a 5-point scale (1 = </w:t>
      </w:r>
      <w:r w:rsidRPr="001E52FE">
        <w:rPr>
          <w:rFonts w:eastAsia="Calibri" w:cs="Times New Roman"/>
          <w:i/>
        </w:rPr>
        <w:t>don’t receive at all</w:t>
      </w:r>
      <w:r w:rsidRPr="001E52FE">
        <w:rPr>
          <w:rFonts w:eastAsia="Calibri" w:cs="Times New Roman"/>
        </w:rPr>
        <w:t xml:space="preserve">, 5 = </w:t>
      </w:r>
      <w:r w:rsidRPr="001E52FE">
        <w:rPr>
          <w:rFonts w:eastAsia="Calibri" w:cs="Times New Roman"/>
          <w:i/>
        </w:rPr>
        <w:t>receive a great deal</w:t>
      </w:r>
      <w:r w:rsidRPr="001E52FE">
        <w:rPr>
          <w:rFonts w:eastAsia="Calibri" w:cs="Times New Roman"/>
        </w:rPr>
        <w:t xml:space="preserve">). Items measured </w:t>
      </w:r>
      <w:r w:rsidR="006B2EC2" w:rsidRPr="001E52FE">
        <w:rPr>
          <w:rFonts w:eastAsia="Calibri" w:cs="Times New Roman"/>
        </w:rPr>
        <w:t xml:space="preserve">emotional (four items, e.g., “Providing you with hope or confidence”; </w:t>
      </w:r>
      <w:r w:rsidR="006B2EC2" w:rsidRPr="001E52FE">
        <w:rPr>
          <w:rFonts w:eastAsia="Calibri" w:cs="Times New Roman"/>
          <w:i/>
        </w:rPr>
        <w:t>α</w:t>
      </w:r>
      <w:r w:rsidR="006B2EC2" w:rsidRPr="001E52FE">
        <w:rPr>
          <w:rFonts w:eastAsia="Calibri" w:cs="Times New Roman"/>
        </w:rPr>
        <w:t xml:space="preserve"> = .70, .75), </w:t>
      </w:r>
      <w:r w:rsidRPr="001E52FE">
        <w:rPr>
          <w:rFonts w:eastAsia="Calibri" w:cs="Times New Roman"/>
        </w:rPr>
        <w:t>informational (three items, e.g., “Analyzing a situation with you and telling you about available choices and options”</w:t>
      </w:r>
      <w:r w:rsidR="00564710" w:rsidRPr="001E52FE">
        <w:rPr>
          <w:rFonts w:eastAsia="Calibri" w:cs="Times New Roman"/>
        </w:rPr>
        <w:t xml:space="preserve">; </w:t>
      </w:r>
      <w:r w:rsidR="00564710" w:rsidRPr="001E52FE">
        <w:rPr>
          <w:rFonts w:eastAsia="Calibri" w:cs="Times New Roman"/>
          <w:i/>
        </w:rPr>
        <w:t>α</w:t>
      </w:r>
      <w:r w:rsidR="00564710" w:rsidRPr="001E52FE">
        <w:rPr>
          <w:rFonts w:eastAsia="Calibri" w:cs="Times New Roman"/>
        </w:rPr>
        <w:t xml:space="preserve"> = .</w:t>
      </w:r>
      <w:r w:rsidR="000F78A7" w:rsidRPr="001E52FE">
        <w:rPr>
          <w:rFonts w:eastAsia="Calibri" w:cs="Times New Roman"/>
        </w:rPr>
        <w:t>75</w:t>
      </w:r>
      <w:r w:rsidR="001B0977" w:rsidRPr="001E52FE">
        <w:rPr>
          <w:rFonts w:eastAsia="Calibri" w:cs="Times New Roman"/>
        </w:rPr>
        <w:t>, .82</w:t>
      </w:r>
      <w:r w:rsidRPr="001E52FE">
        <w:rPr>
          <w:rFonts w:eastAsia="Calibri" w:cs="Times New Roman"/>
        </w:rPr>
        <w:t xml:space="preserve">), esteem (four items, e.g., “Assuring you that you are a </w:t>
      </w:r>
      <w:r w:rsidRPr="001E52FE">
        <w:rPr>
          <w:rFonts w:eastAsia="Calibri" w:cs="Times New Roman"/>
        </w:rPr>
        <w:lastRenderedPageBreak/>
        <w:t>worthwhile person”</w:t>
      </w:r>
      <w:r w:rsidR="00943A11" w:rsidRPr="001E52FE">
        <w:rPr>
          <w:rFonts w:eastAsia="Calibri" w:cs="Times New Roman"/>
        </w:rPr>
        <w:t xml:space="preserve">; </w:t>
      </w:r>
      <w:r w:rsidR="00943A11" w:rsidRPr="001E52FE">
        <w:rPr>
          <w:rFonts w:eastAsia="Calibri" w:cs="Times New Roman"/>
          <w:i/>
        </w:rPr>
        <w:t>α</w:t>
      </w:r>
      <w:r w:rsidR="00943A11" w:rsidRPr="001E52FE">
        <w:rPr>
          <w:rFonts w:eastAsia="Calibri" w:cs="Times New Roman"/>
        </w:rPr>
        <w:t xml:space="preserve"> = .</w:t>
      </w:r>
      <w:r w:rsidR="000F78A7" w:rsidRPr="001E52FE">
        <w:rPr>
          <w:rFonts w:eastAsia="Calibri" w:cs="Times New Roman"/>
        </w:rPr>
        <w:t>87</w:t>
      </w:r>
      <w:r w:rsidR="001B0977" w:rsidRPr="001E52FE">
        <w:rPr>
          <w:rFonts w:eastAsia="Calibri" w:cs="Times New Roman"/>
        </w:rPr>
        <w:t>, .90</w:t>
      </w:r>
      <w:r w:rsidRPr="001E52FE">
        <w:rPr>
          <w:rFonts w:eastAsia="Calibri" w:cs="Times New Roman"/>
        </w:rPr>
        <w:t>), and network support (three items, e.g., “Connecting you with people whom you may turn to for help”</w:t>
      </w:r>
      <w:r w:rsidR="00943A11" w:rsidRPr="001E52FE">
        <w:rPr>
          <w:rFonts w:eastAsia="Calibri" w:cs="Times New Roman"/>
        </w:rPr>
        <w:t xml:space="preserve">; </w:t>
      </w:r>
      <w:r w:rsidR="00943A11" w:rsidRPr="001E52FE">
        <w:rPr>
          <w:rFonts w:eastAsia="Calibri" w:cs="Times New Roman"/>
          <w:i/>
        </w:rPr>
        <w:t>α</w:t>
      </w:r>
      <w:r w:rsidR="00943A11" w:rsidRPr="001E52FE">
        <w:rPr>
          <w:rFonts w:eastAsia="Calibri" w:cs="Times New Roman"/>
        </w:rPr>
        <w:t xml:space="preserve"> = .</w:t>
      </w:r>
      <w:r w:rsidR="000F78A7" w:rsidRPr="001E52FE">
        <w:rPr>
          <w:rFonts w:eastAsia="Calibri" w:cs="Times New Roman"/>
        </w:rPr>
        <w:t>85</w:t>
      </w:r>
      <w:r w:rsidR="001B0977" w:rsidRPr="001E52FE">
        <w:rPr>
          <w:rFonts w:eastAsia="Calibri" w:cs="Times New Roman"/>
        </w:rPr>
        <w:t>, .86</w:t>
      </w:r>
      <w:r w:rsidRPr="001E52FE">
        <w:rPr>
          <w:rFonts w:eastAsia="Calibri" w:cs="Times New Roman"/>
        </w:rPr>
        <w:t xml:space="preserve">). </w:t>
      </w:r>
    </w:p>
    <w:p w14:paraId="0852C10B" w14:textId="63583A95" w:rsidR="00D64AA4" w:rsidRPr="001E52FE" w:rsidRDefault="00D64AA4" w:rsidP="00FC2F58">
      <w:pPr>
        <w:spacing w:line="480" w:lineRule="auto"/>
        <w:rPr>
          <w:rFonts w:eastAsia="Calibri" w:cs="Times New Roman"/>
        </w:rPr>
      </w:pPr>
      <w:r w:rsidRPr="001E52FE">
        <w:rPr>
          <w:rFonts w:eastAsia="Calibri" w:cs="Times New Roman"/>
        </w:rPr>
        <w:tab/>
      </w:r>
      <w:r w:rsidR="00FD3C09" w:rsidRPr="001E52FE">
        <w:rPr>
          <w:rFonts w:eastAsia="Calibri" w:cs="Times New Roman"/>
          <w:b/>
        </w:rPr>
        <w:t>Advice quality</w:t>
      </w:r>
      <w:r w:rsidRPr="001E52FE">
        <w:rPr>
          <w:rFonts w:eastAsia="Calibri" w:cs="Times New Roman"/>
          <w:b/>
        </w:rPr>
        <w:t>.</w:t>
      </w:r>
      <w:r w:rsidRPr="001E52FE">
        <w:rPr>
          <w:rFonts w:eastAsia="Calibri" w:cs="Times New Roman"/>
        </w:rPr>
        <w:t xml:space="preserve"> </w:t>
      </w:r>
      <w:r w:rsidR="004D4711" w:rsidRPr="001E52FE">
        <w:rPr>
          <w:rFonts w:eastAsia="Calibri" w:cs="Times New Roman"/>
        </w:rPr>
        <w:t xml:space="preserve">Following MacGeorge et al. (2004), </w:t>
      </w:r>
      <w:r w:rsidR="001C1542" w:rsidRPr="001E52FE">
        <w:rPr>
          <w:rFonts w:eastAsia="Calibri" w:cs="Times New Roman"/>
        </w:rPr>
        <w:t>p</w:t>
      </w:r>
      <w:r w:rsidR="004C4E08" w:rsidRPr="001E52FE">
        <w:rPr>
          <w:rFonts w:eastAsia="Calibri" w:cs="Times New Roman"/>
        </w:rPr>
        <w:t xml:space="preserve">articipants rated advice quality based on its helpfulness, supportiveness, and effectiveness on a 5-point scale (1 = </w:t>
      </w:r>
      <w:r w:rsidR="004C4E08" w:rsidRPr="001E52FE">
        <w:rPr>
          <w:rFonts w:eastAsia="Calibri" w:cs="Times New Roman"/>
          <w:i/>
        </w:rPr>
        <w:t>strongly disagree</w:t>
      </w:r>
      <w:r w:rsidR="004C4E08" w:rsidRPr="001E52FE">
        <w:rPr>
          <w:rFonts w:eastAsia="Calibri" w:cs="Times New Roman"/>
        </w:rPr>
        <w:t xml:space="preserve">, 5 = </w:t>
      </w:r>
      <w:r w:rsidR="004C4E08" w:rsidRPr="001E52FE">
        <w:rPr>
          <w:rFonts w:eastAsia="Calibri" w:cs="Times New Roman"/>
          <w:i/>
        </w:rPr>
        <w:t>strongly agree</w:t>
      </w:r>
      <w:r w:rsidR="003C4A80" w:rsidRPr="001E52FE">
        <w:rPr>
          <w:rFonts w:eastAsia="Calibri" w:cs="Times New Roman"/>
        </w:rPr>
        <w:t xml:space="preserve">; </w:t>
      </w:r>
      <w:r w:rsidR="003C4A80" w:rsidRPr="001E52FE">
        <w:rPr>
          <w:rFonts w:eastAsia="Calibri" w:cs="Times New Roman"/>
          <w:i/>
        </w:rPr>
        <w:t>α</w:t>
      </w:r>
      <w:r w:rsidR="003C4A80" w:rsidRPr="001E52FE">
        <w:rPr>
          <w:rFonts w:eastAsia="Calibri" w:cs="Times New Roman"/>
        </w:rPr>
        <w:t xml:space="preserve"> = .</w:t>
      </w:r>
      <w:r w:rsidR="004E18E1" w:rsidRPr="001E52FE">
        <w:rPr>
          <w:rFonts w:eastAsia="Calibri" w:cs="Times New Roman"/>
        </w:rPr>
        <w:t>81, .86</w:t>
      </w:r>
      <w:r w:rsidR="004C4E08" w:rsidRPr="001E52FE">
        <w:rPr>
          <w:rFonts w:eastAsia="Calibri" w:cs="Times New Roman"/>
        </w:rPr>
        <w:t xml:space="preserve">). </w:t>
      </w:r>
    </w:p>
    <w:p w14:paraId="69C4835B" w14:textId="77777777" w:rsidR="00D64AA4" w:rsidRPr="001E52FE" w:rsidRDefault="00D64AA4" w:rsidP="00FC2F58">
      <w:pPr>
        <w:spacing w:line="480" w:lineRule="auto"/>
        <w:rPr>
          <w:rFonts w:eastAsia="Calibri" w:cs="Times New Roman"/>
        </w:rPr>
      </w:pPr>
      <w:r w:rsidRPr="001E52FE">
        <w:rPr>
          <w:rFonts w:eastAsia="Calibri" w:cs="Times New Roman"/>
        </w:rPr>
        <w:tab/>
      </w:r>
      <w:r w:rsidRPr="001E52FE">
        <w:rPr>
          <w:rFonts w:eastAsia="Calibri" w:cs="Times New Roman"/>
          <w:b/>
        </w:rPr>
        <w:t>Conversation satisfaction.</w:t>
      </w:r>
      <w:r w:rsidRPr="001E52FE">
        <w:rPr>
          <w:rFonts w:eastAsia="Calibri" w:cs="Times New Roman"/>
        </w:rPr>
        <w:t xml:space="preserve"> Advisors and recipients reported on their conversational </w:t>
      </w:r>
      <w:r w:rsidR="003547D9" w:rsidRPr="001E52FE">
        <w:rPr>
          <w:rFonts w:eastAsia="Calibri" w:cs="Times New Roman"/>
        </w:rPr>
        <w:t>satisfaction with</w:t>
      </w:r>
      <w:r w:rsidRPr="001E52FE">
        <w:rPr>
          <w:rFonts w:eastAsia="Calibri" w:cs="Times New Roman"/>
        </w:rPr>
        <w:t xml:space="preserve"> </w:t>
      </w:r>
      <w:r w:rsidR="003547D9" w:rsidRPr="001E52FE">
        <w:rPr>
          <w:rFonts w:eastAsia="Calibri" w:cs="Times New Roman"/>
        </w:rPr>
        <w:t>eight items (e.g., “I would like to have</w:t>
      </w:r>
      <w:r w:rsidR="00FD3C09" w:rsidRPr="001E52FE">
        <w:rPr>
          <w:rFonts w:eastAsia="Calibri" w:cs="Times New Roman"/>
        </w:rPr>
        <w:t xml:space="preserve"> </w:t>
      </w:r>
      <w:r w:rsidR="003547D9" w:rsidRPr="001E52FE">
        <w:rPr>
          <w:rFonts w:eastAsia="Calibri" w:cs="Times New Roman"/>
        </w:rPr>
        <w:t>another conversation like this one”) from the Interpersonal Communication Satisfaction</w:t>
      </w:r>
      <w:r w:rsidR="00FD3C09" w:rsidRPr="001E52FE">
        <w:rPr>
          <w:rFonts w:eastAsia="Calibri" w:cs="Times New Roman"/>
        </w:rPr>
        <w:t xml:space="preserve"> </w:t>
      </w:r>
      <w:r w:rsidR="003547D9" w:rsidRPr="001E52FE">
        <w:rPr>
          <w:rFonts w:eastAsia="Calibri" w:cs="Times New Roman"/>
        </w:rPr>
        <w:t>Inventory (Hecht, 1978)</w:t>
      </w:r>
      <w:r w:rsidR="00255290" w:rsidRPr="001E52FE">
        <w:rPr>
          <w:rFonts w:eastAsia="Calibri" w:cs="Times New Roman"/>
        </w:rPr>
        <w:t xml:space="preserve"> measured on a 5-point scale (1 = </w:t>
      </w:r>
      <w:r w:rsidR="00255290" w:rsidRPr="001E52FE">
        <w:rPr>
          <w:rFonts w:eastAsia="Calibri" w:cs="Times New Roman"/>
          <w:i/>
        </w:rPr>
        <w:t>strongly disagree</w:t>
      </w:r>
      <w:r w:rsidR="00255290" w:rsidRPr="001E52FE">
        <w:rPr>
          <w:rFonts w:eastAsia="Calibri" w:cs="Times New Roman"/>
        </w:rPr>
        <w:t xml:space="preserve">, 5 = </w:t>
      </w:r>
      <w:r w:rsidR="00255290" w:rsidRPr="001E52FE">
        <w:rPr>
          <w:rFonts w:eastAsia="Calibri" w:cs="Times New Roman"/>
          <w:i/>
        </w:rPr>
        <w:t>strongly agree</w:t>
      </w:r>
      <w:r w:rsidR="003D2295" w:rsidRPr="001E52FE">
        <w:rPr>
          <w:rFonts w:eastAsia="Calibri" w:cs="Times New Roman"/>
        </w:rPr>
        <w:t xml:space="preserve">; </w:t>
      </w:r>
      <w:r w:rsidR="003D2295" w:rsidRPr="001E52FE">
        <w:rPr>
          <w:rFonts w:eastAsia="Calibri" w:cs="Times New Roman"/>
          <w:i/>
        </w:rPr>
        <w:t>α</w:t>
      </w:r>
      <w:r w:rsidR="003D2295" w:rsidRPr="001E52FE">
        <w:rPr>
          <w:rFonts w:eastAsia="Calibri" w:cs="Times New Roman"/>
        </w:rPr>
        <w:t xml:space="preserve"> = .</w:t>
      </w:r>
      <w:r w:rsidR="00D66BB8" w:rsidRPr="001E52FE">
        <w:rPr>
          <w:rFonts w:eastAsia="Calibri" w:cs="Times New Roman"/>
        </w:rPr>
        <w:t>89, .85</w:t>
      </w:r>
      <w:r w:rsidR="00255290" w:rsidRPr="001E52FE">
        <w:rPr>
          <w:rFonts w:eastAsia="Calibri" w:cs="Times New Roman"/>
        </w:rPr>
        <w:t>)</w:t>
      </w:r>
      <w:r w:rsidRPr="001E52FE">
        <w:rPr>
          <w:rFonts w:eastAsia="Calibri" w:cs="Times New Roman"/>
        </w:rPr>
        <w:t xml:space="preserve">. </w:t>
      </w:r>
    </w:p>
    <w:p w14:paraId="32F03B63" w14:textId="77777777" w:rsidR="00D677A8" w:rsidRPr="001E52FE" w:rsidRDefault="00D677A8" w:rsidP="00FC2F58">
      <w:pPr>
        <w:spacing w:line="480" w:lineRule="auto"/>
        <w:jc w:val="center"/>
        <w:rPr>
          <w:b/>
        </w:rPr>
      </w:pPr>
      <w:r w:rsidRPr="001E52FE">
        <w:rPr>
          <w:b/>
        </w:rPr>
        <w:t>Plan of Analysis</w:t>
      </w:r>
    </w:p>
    <w:p w14:paraId="45230C12" w14:textId="04F73758" w:rsidR="00D677A8" w:rsidRPr="001E52FE" w:rsidRDefault="00D677A8" w:rsidP="00FC2F58">
      <w:pPr>
        <w:spacing w:line="480" w:lineRule="auto"/>
      </w:pPr>
      <w:r w:rsidRPr="001E52FE">
        <w:rPr>
          <w:b/>
        </w:rPr>
        <w:tab/>
      </w:r>
      <w:r w:rsidRPr="001E52FE">
        <w:t xml:space="preserve">The primary analyses were conducted with structural equation models in MPlus 7.3 using maximum likelihood </w:t>
      </w:r>
      <w:r w:rsidR="00540957">
        <w:t>estimation</w:t>
      </w:r>
      <w:r w:rsidRPr="001E52FE">
        <w:t xml:space="preserve"> (Muthén &amp; Muthén, 2012). </w:t>
      </w:r>
      <w:r w:rsidR="001153A2">
        <w:t>P</w:t>
      </w:r>
      <w:r w:rsidR="00FA3792">
        <w:t xml:space="preserve">articipants’ sex and age were included </w:t>
      </w:r>
      <w:r w:rsidR="0021339A">
        <w:t>as predictors of advice quality and conversation satisfaction.</w:t>
      </w:r>
      <w:r w:rsidR="001153A2">
        <w:t xml:space="preserve"> </w:t>
      </w:r>
      <w:r w:rsidRPr="001E52FE">
        <w:t xml:space="preserve">All models allowed </w:t>
      </w:r>
      <w:r w:rsidR="00AF6028" w:rsidRPr="001E52FE">
        <w:t>ex</w:t>
      </w:r>
      <w:r w:rsidRPr="001E52FE">
        <w:t xml:space="preserve">ogenous variables to freely covary and included error covariances between analogous endogenous variables (i.e., between advisor and recipient advice quality, and between advisor and recipient conversation satisfaction). All variables were represented as observed variables per APIM recommendations (Kenny et al., 2006). All observed variables (i.e., exogenous and endogenous variables) were standardized prior to model entry. To create observed variables for the second-order latent factors, scales were standardized and then used as indicators of a first-order factor (i.e., liking, similarity, and trust were the three </w:t>
      </w:r>
      <w:r w:rsidR="00B91B07">
        <w:t xml:space="preserve">standardized </w:t>
      </w:r>
      <w:r w:rsidRPr="001E52FE">
        <w:t xml:space="preserve">indicators of the partner characteristics latent variable, and emotional, informational, esteem, and network support were the four </w:t>
      </w:r>
      <w:r w:rsidR="00C32F47">
        <w:t xml:space="preserve">standardized </w:t>
      </w:r>
      <w:r w:rsidRPr="001E52FE">
        <w:t xml:space="preserve">indicators of the past support latent variable). The factor scores of these two latent variables were downloaded and used as observed variables (Muthén &amp; Muthén, 2012). </w:t>
      </w:r>
      <w:r w:rsidRPr="001E52FE">
        <w:lastRenderedPageBreak/>
        <w:t>Results did not significantly vary when using the second-order factor scores as observed variables compared to the latent representations. We report unstandardized path coefficients from the model output, which are interpreted as standardized (Kline, 2011).</w:t>
      </w:r>
      <w:r w:rsidR="00501A34" w:rsidRPr="001E52FE">
        <w:t xml:space="preserve"> Indirect effects are reported with 95% bias corrected bootstrapped </w:t>
      </w:r>
      <w:r w:rsidR="009E1E2E" w:rsidRPr="001E52FE">
        <w:t>confidence intervals based on</w:t>
      </w:r>
      <w:r w:rsidR="00DB64F9" w:rsidRPr="001E52FE">
        <w:t xml:space="preserve"> 5</w:t>
      </w:r>
      <w:r w:rsidR="00A0678F" w:rsidRPr="001E52FE">
        <w:t xml:space="preserve">,000 </w:t>
      </w:r>
      <w:r w:rsidR="007C6C49" w:rsidRPr="001E52FE">
        <w:t>re</w:t>
      </w:r>
      <w:r w:rsidR="009E1E2E" w:rsidRPr="001E52FE">
        <w:t>samples</w:t>
      </w:r>
      <w:r w:rsidRPr="001E52FE">
        <w:t xml:space="preserve">. </w:t>
      </w:r>
    </w:p>
    <w:p w14:paraId="6C92F6D6" w14:textId="77777777" w:rsidR="00D677A8" w:rsidRPr="001E52FE" w:rsidRDefault="00D677A8" w:rsidP="00FC2F58">
      <w:pPr>
        <w:spacing w:line="480" w:lineRule="auto"/>
        <w:jc w:val="center"/>
        <w:rPr>
          <w:b/>
        </w:rPr>
      </w:pPr>
      <w:r w:rsidRPr="001E52FE">
        <w:rPr>
          <w:b/>
        </w:rPr>
        <w:t>Results</w:t>
      </w:r>
    </w:p>
    <w:p w14:paraId="5D1469F3" w14:textId="51952C19" w:rsidR="00D677A8" w:rsidRPr="001E52FE" w:rsidRDefault="00D677A8" w:rsidP="00B408DC">
      <w:pPr>
        <w:spacing w:line="480" w:lineRule="auto"/>
        <w:ind w:firstLine="720"/>
      </w:pPr>
      <w:r w:rsidRPr="001E52FE">
        <w:t xml:space="preserve">The negligible missing data (0.003%) </w:t>
      </w:r>
      <w:r w:rsidR="00D708B7" w:rsidRPr="001E52FE">
        <w:t>were</w:t>
      </w:r>
      <w:r w:rsidRPr="001E52FE">
        <w:t xml:space="preserve"> handled with mean replacement. </w:t>
      </w:r>
      <w:r w:rsidR="00302994">
        <w:t xml:space="preserve">Data were examined for </w:t>
      </w:r>
      <w:r w:rsidR="005A327F">
        <w:t xml:space="preserve">univariate, bivariate, and multivariate </w:t>
      </w:r>
      <w:r w:rsidR="00302994">
        <w:t xml:space="preserve">normality. </w:t>
      </w:r>
      <w:r w:rsidRPr="001E52FE">
        <w:t xml:space="preserve">Three dyads were not analyzed because they were multivariate outliers (i.e., Mahalanobis Distance &gt; 3 </w:t>
      </w:r>
      <w:r w:rsidRPr="001E52FE">
        <w:rPr>
          <w:i/>
        </w:rPr>
        <w:t>SD</w:t>
      </w:r>
      <w:r w:rsidRPr="001E52FE">
        <w:t xml:space="preserve"> above the mean). Treatment of dyads as independent was both theoretically warranted (based on role assignment) and empirically indicated by better fit of an unconstrained effects model (</w:t>
      </w:r>
      <w:r w:rsidRPr="001E52FE">
        <w:rPr>
          <w:i/>
        </w:rPr>
        <w:t>X</w:t>
      </w:r>
      <w:r w:rsidRPr="001E52FE">
        <w:rPr>
          <w:i/>
          <w:vertAlign w:val="superscript"/>
        </w:rPr>
        <w:t>2</w:t>
      </w:r>
      <w:r w:rsidRPr="001E52FE">
        <w:rPr>
          <w:i/>
          <w:vertAlign w:val="subscript"/>
        </w:rPr>
        <w:t>13</w:t>
      </w:r>
      <w:r w:rsidRPr="001E52FE">
        <w:rPr>
          <w:b/>
          <w:bCs/>
          <w:color w:val="222222"/>
          <w:shd w:val="clear" w:color="auto" w:fill="FFFFFF"/>
        </w:rPr>
        <w:t xml:space="preserve"> </w:t>
      </w:r>
      <w:r w:rsidRPr="001E52FE">
        <w:rPr>
          <w:bCs/>
          <w:color w:val="222222"/>
          <w:shd w:val="clear" w:color="auto" w:fill="FFFFFF"/>
        </w:rPr>
        <w:t>Δ</w:t>
      </w:r>
      <w:r w:rsidRPr="001E52FE">
        <w:rPr>
          <w:i/>
        </w:rPr>
        <w:t>=</w:t>
      </w:r>
      <w:r w:rsidRPr="001E52FE">
        <w:t xml:space="preserve">35.40, </w:t>
      </w:r>
      <w:r w:rsidRPr="001E52FE">
        <w:rPr>
          <w:i/>
        </w:rPr>
        <w:t>p &lt;</w:t>
      </w:r>
      <w:r w:rsidRPr="001E52FE">
        <w:t xml:space="preserve"> .001). Descriptive statistics and correlations for </w:t>
      </w:r>
      <w:r w:rsidR="000D1D8A">
        <w:t>all</w:t>
      </w:r>
      <w:r w:rsidRPr="001E52FE">
        <w:t xml:space="preserve"> variables are reported in Table 2.</w:t>
      </w:r>
    </w:p>
    <w:p w14:paraId="73317301" w14:textId="77777777" w:rsidR="00D677A8" w:rsidRPr="001E52FE" w:rsidRDefault="00D677A8" w:rsidP="00FC2F58">
      <w:pPr>
        <w:spacing w:line="480" w:lineRule="auto"/>
        <w:rPr>
          <w:b/>
        </w:rPr>
      </w:pPr>
      <w:r w:rsidRPr="001E52FE">
        <w:rPr>
          <w:b/>
        </w:rPr>
        <w:t>Model Selection</w:t>
      </w:r>
    </w:p>
    <w:p w14:paraId="4B15E480" w14:textId="35D143D8" w:rsidR="00D677A8" w:rsidRPr="001E52FE" w:rsidRDefault="00D677A8" w:rsidP="00FC2F58">
      <w:pPr>
        <w:spacing w:line="480" w:lineRule="auto"/>
      </w:pPr>
      <w:r w:rsidRPr="001E52FE">
        <w:tab/>
        <w:t xml:space="preserve">To address RQ1, we first compared structural equation models representing </w:t>
      </w:r>
      <w:r w:rsidR="00552BA1" w:rsidRPr="001E52FE">
        <w:t xml:space="preserve">the three </w:t>
      </w:r>
      <w:r w:rsidR="00A40C0E" w:rsidRPr="001E52FE">
        <w:t xml:space="preserve">advisor </w:t>
      </w:r>
      <w:r w:rsidR="00552BA1" w:rsidRPr="001E52FE">
        <w:t>models</w:t>
      </w:r>
      <w:r w:rsidRPr="001E52FE">
        <w:t xml:space="preserve">. </w:t>
      </w:r>
      <w:r w:rsidR="00A55B4B" w:rsidRPr="001E52FE">
        <w:t>The independent perspectives model included all actor-effects and no partner-effects, the recipient-dominant model included recipient actor-effects and recipient to advisor partner-effects, and t</w:t>
      </w:r>
      <w:r w:rsidR="00A93854" w:rsidRPr="001E52FE">
        <w:t>he mutual influence model</w:t>
      </w:r>
      <w:r w:rsidRPr="001E52FE">
        <w:t xml:space="preserve"> included </w:t>
      </w:r>
      <w:r w:rsidR="00A55B4B" w:rsidRPr="001E52FE">
        <w:t xml:space="preserve">all actor- and partner-effects </w:t>
      </w:r>
      <w:r w:rsidRPr="001E52FE">
        <w:t xml:space="preserve">(see Figure 1). For each </w:t>
      </w:r>
      <w:r w:rsidR="00CD4935" w:rsidRPr="001E52FE">
        <w:t>model</w:t>
      </w:r>
      <w:r w:rsidRPr="001E52FE">
        <w:t xml:space="preserve">, two </w:t>
      </w:r>
      <w:r w:rsidR="00852EA8" w:rsidRPr="001E52FE">
        <w:t xml:space="preserve">SEMs </w:t>
      </w:r>
      <w:r w:rsidRPr="001E52FE">
        <w:t>were examined: one with direct actor effects between relational assessments and conversation satisfaction, and one without direct effects (i.e., indirect effects only, based on H3). Thus, six models in total were considered (</w:t>
      </w:r>
      <w:r w:rsidR="008A3D79" w:rsidRPr="001E52FE">
        <w:t xml:space="preserve">see Table 1 </w:t>
      </w:r>
      <w:r w:rsidRPr="001E52FE">
        <w:t xml:space="preserve">for </w:t>
      </w:r>
      <w:r w:rsidR="008A3D79" w:rsidRPr="001E52FE">
        <w:t>goodness of fit statistics</w:t>
      </w:r>
      <w:r w:rsidRPr="001E52FE">
        <w:t xml:space="preserve">). </w:t>
      </w:r>
      <w:r w:rsidR="009C3348" w:rsidRPr="001E52FE">
        <w:t>The mutual influence model</w:t>
      </w:r>
      <w:r w:rsidRPr="001E52FE">
        <w:t xml:space="preserve"> with direct effects displayed the best fit statistics when compared to other models (e.g., direct effects </w:t>
      </w:r>
      <w:r w:rsidR="0048590F" w:rsidRPr="001E52FE">
        <w:t>recipient-dominant model</w:t>
      </w:r>
      <w:r w:rsidRPr="001E52FE">
        <w:t xml:space="preserve"> </w:t>
      </w:r>
      <w:r w:rsidRPr="001E52FE">
        <w:rPr>
          <w:i/>
        </w:rPr>
        <w:t>X</w:t>
      </w:r>
      <w:r w:rsidRPr="001E52FE">
        <w:rPr>
          <w:i/>
          <w:vertAlign w:val="superscript"/>
        </w:rPr>
        <w:t>2</w:t>
      </w:r>
      <w:r w:rsidR="003F6250" w:rsidRPr="001E52FE">
        <w:rPr>
          <w:i/>
          <w:vertAlign w:val="subscript"/>
        </w:rPr>
        <w:t>4</w:t>
      </w:r>
      <w:r w:rsidRPr="001E52FE">
        <w:rPr>
          <w:b/>
          <w:bCs/>
          <w:color w:val="222222"/>
          <w:shd w:val="clear" w:color="auto" w:fill="FFFFFF"/>
        </w:rPr>
        <w:t xml:space="preserve"> </w:t>
      </w:r>
      <w:r w:rsidRPr="001E52FE">
        <w:rPr>
          <w:bCs/>
          <w:color w:val="222222"/>
          <w:shd w:val="clear" w:color="auto" w:fill="FFFFFF"/>
        </w:rPr>
        <w:t>Δ</w:t>
      </w:r>
      <w:r w:rsidRPr="001E52FE">
        <w:rPr>
          <w:i/>
        </w:rPr>
        <w:t>=</w:t>
      </w:r>
      <w:r w:rsidR="00951743" w:rsidRPr="001E52FE">
        <w:t>24.41</w:t>
      </w:r>
      <w:r w:rsidRPr="001E52FE">
        <w:t xml:space="preserve">, </w:t>
      </w:r>
      <w:r w:rsidRPr="001E52FE">
        <w:rPr>
          <w:i/>
        </w:rPr>
        <w:t xml:space="preserve">p </w:t>
      </w:r>
      <w:r w:rsidRPr="001E52FE">
        <w:t xml:space="preserve">&lt; .001, and no direct effects </w:t>
      </w:r>
      <w:r w:rsidR="008B3C11" w:rsidRPr="001E52FE">
        <w:t>mutual influence model</w:t>
      </w:r>
      <w:r w:rsidRPr="001E52FE">
        <w:rPr>
          <w:i/>
        </w:rPr>
        <w:t xml:space="preserve"> X</w:t>
      </w:r>
      <w:r w:rsidRPr="001E52FE">
        <w:rPr>
          <w:i/>
          <w:vertAlign w:val="superscript"/>
        </w:rPr>
        <w:t>2</w:t>
      </w:r>
      <w:r w:rsidRPr="001E52FE">
        <w:rPr>
          <w:i/>
          <w:vertAlign w:val="subscript"/>
        </w:rPr>
        <w:t>8</w:t>
      </w:r>
      <w:r w:rsidRPr="001E52FE">
        <w:rPr>
          <w:b/>
          <w:bCs/>
          <w:color w:val="222222"/>
          <w:shd w:val="clear" w:color="auto" w:fill="FFFFFF"/>
        </w:rPr>
        <w:t xml:space="preserve"> </w:t>
      </w:r>
      <w:r w:rsidRPr="001E52FE">
        <w:rPr>
          <w:bCs/>
          <w:color w:val="222222"/>
          <w:shd w:val="clear" w:color="auto" w:fill="FFFFFF"/>
        </w:rPr>
        <w:t>Δ</w:t>
      </w:r>
      <w:r w:rsidRPr="001E52FE">
        <w:rPr>
          <w:i/>
        </w:rPr>
        <w:t>=</w:t>
      </w:r>
      <w:r w:rsidRPr="001E52FE">
        <w:t xml:space="preserve">25.54, </w:t>
      </w:r>
      <w:r w:rsidRPr="001E52FE">
        <w:rPr>
          <w:i/>
        </w:rPr>
        <w:t xml:space="preserve">p </w:t>
      </w:r>
      <w:r w:rsidRPr="001E52FE">
        <w:t>= .0</w:t>
      </w:r>
      <w:r w:rsidR="00184EA5" w:rsidRPr="001E52FE">
        <w:t xml:space="preserve">01; </w:t>
      </w:r>
      <w:r w:rsidRPr="001E52FE">
        <w:t xml:space="preserve">Kline, 2011). </w:t>
      </w:r>
      <w:r w:rsidR="00043D6D" w:rsidRPr="001E52FE">
        <w:t>Residuals of the final model were all below .2</w:t>
      </w:r>
      <w:r w:rsidR="00D53CD9" w:rsidRPr="001E52FE">
        <w:t>0</w:t>
      </w:r>
      <w:r w:rsidR="00043D6D" w:rsidRPr="001E52FE">
        <w:t xml:space="preserve">. </w:t>
      </w:r>
      <w:r w:rsidRPr="001E52FE">
        <w:t xml:space="preserve">Because the relationship between advice quality </w:t>
      </w:r>
      <w:r w:rsidRPr="001E52FE">
        <w:lastRenderedPageBreak/>
        <w:t>and conversation satisfaction was based on theory and not truly predictive, we reran the best fitting model with these two variables switched (i.e., with conversation satisfaction predicting advice quality) to demonstrate the theoretically-driven model was superior</w:t>
      </w:r>
      <w:r w:rsidR="00F91442" w:rsidRPr="001E52FE">
        <w:t>.</w:t>
      </w:r>
    </w:p>
    <w:p w14:paraId="21EBD526" w14:textId="658833B5" w:rsidR="00D677A8" w:rsidRPr="001E52FE" w:rsidRDefault="00D677A8" w:rsidP="00FC2F58">
      <w:pPr>
        <w:spacing w:line="480" w:lineRule="auto"/>
        <w:rPr>
          <w:b/>
        </w:rPr>
      </w:pPr>
      <w:r w:rsidRPr="001E52FE">
        <w:tab/>
        <w:t>As recommended by Lederman</w:t>
      </w:r>
      <w:r w:rsidR="00F36833" w:rsidRPr="001E52FE">
        <w:t>n</w:t>
      </w:r>
      <w:r w:rsidR="00267711" w:rsidRPr="001E52FE">
        <w:t>, Macho, and Kenny (2011</w:t>
      </w:r>
      <w:r w:rsidRPr="001E52FE">
        <w:t xml:space="preserve">), after we determined </w:t>
      </w:r>
      <w:r w:rsidR="008B3C11" w:rsidRPr="001E52FE">
        <w:t>the mutual influence model</w:t>
      </w:r>
      <w:r w:rsidRPr="001E52FE">
        <w:t xml:space="preserve"> with direct effects was the best-fitting model, we tested individual paths for indistinguishability. If constraining paths between advisors and recipients did not worsen model fit by a chi-square difference test, the paths were constrained </w:t>
      </w:r>
      <w:r w:rsidR="004D282E" w:rsidRPr="001E52FE">
        <w:t xml:space="preserve">to be </w:t>
      </w:r>
      <w:r w:rsidRPr="001E52FE">
        <w:t>equal. This allowed us to simplify the model in theoretically appropriate and meaningful ways (Lederman</w:t>
      </w:r>
      <w:r w:rsidR="00F36833" w:rsidRPr="001E52FE">
        <w:t>n</w:t>
      </w:r>
      <w:r w:rsidR="00267711" w:rsidRPr="001E52FE">
        <w:t xml:space="preserve"> et al., 2011)</w:t>
      </w:r>
      <w:r w:rsidRPr="001E52FE">
        <w:t xml:space="preserve">. Many paths were indistinguishable (discussed in detail below) and the final model with </w:t>
      </w:r>
      <w:r w:rsidR="004D282E" w:rsidRPr="001E52FE">
        <w:t>these</w:t>
      </w:r>
      <w:r w:rsidRPr="001E52FE">
        <w:t xml:space="preserve"> indistinguishable paths constrained displayed good fit (see Table 1). We use this final constrained model to report our results. Path coefficients are reported in Table 3, although only statistically significant paths are modeled (see Figure 2) and discussed in-text. Overall, the </w:t>
      </w:r>
      <w:r w:rsidR="00087D22" w:rsidRPr="001E52FE">
        <w:t xml:space="preserve">final </w:t>
      </w:r>
      <w:r w:rsidRPr="001E52FE">
        <w:t xml:space="preserve">model explained </w:t>
      </w:r>
      <w:r w:rsidR="00A61E39" w:rsidRPr="001E52FE">
        <w:t>10.1</w:t>
      </w:r>
      <w:r w:rsidRPr="001E52FE">
        <w:t xml:space="preserve">% of advisor advice quality variance, </w:t>
      </w:r>
      <w:r w:rsidR="00A61E39" w:rsidRPr="001E52FE">
        <w:t>17.2</w:t>
      </w:r>
      <w:r w:rsidRPr="001E52FE">
        <w:t xml:space="preserve">% of recipient advice quality variance, </w:t>
      </w:r>
      <w:r w:rsidR="00A61E39" w:rsidRPr="001E52FE">
        <w:t>26</w:t>
      </w:r>
      <w:r w:rsidRPr="001E52FE">
        <w:t xml:space="preserve">% of advisor conversational satisfaction variance, and </w:t>
      </w:r>
      <w:r w:rsidR="00A61E39" w:rsidRPr="001E52FE">
        <w:t>30.7</w:t>
      </w:r>
      <w:r w:rsidRPr="001E52FE">
        <w:t>% of recipient conversational satisfaction variance. Advisor and recipient advice quality were not correlated in the model (</w:t>
      </w:r>
      <w:r w:rsidRPr="001E52FE">
        <w:rPr>
          <w:i/>
        </w:rPr>
        <w:t xml:space="preserve">r </w:t>
      </w:r>
      <w:r w:rsidRPr="001E52FE">
        <w:t xml:space="preserve">= .09, </w:t>
      </w:r>
      <w:r w:rsidRPr="001E52FE">
        <w:rPr>
          <w:i/>
        </w:rPr>
        <w:t xml:space="preserve">p </w:t>
      </w:r>
      <w:r w:rsidRPr="001E52FE">
        <w:t>= .19), although advisor and recipient ratings of conversation satisfaction were positively related (</w:t>
      </w:r>
      <w:r w:rsidRPr="001E52FE">
        <w:rPr>
          <w:i/>
        </w:rPr>
        <w:t xml:space="preserve">r </w:t>
      </w:r>
      <w:r w:rsidRPr="001E52FE">
        <w:t xml:space="preserve">= .17, </w:t>
      </w:r>
      <w:r w:rsidRPr="001E52FE">
        <w:rPr>
          <w:i/>
        </w:rPr>
        <w:t xml:space="preserve">p </w:t>
      </w:r>
      <w:r w:rsidRPr="001E52FE">
        <w:t>= .001).</w:t>
      </w:r>
      <w:r w:rsidRPr="001E52FE">
        <w:br/>
      </w:r>
      <w:r w:rsidRPr="001E52FE">
        <w:rPr>
          <w:b/>
        </w:rPr>
        <w:t>Actor-Effects</w:t>
      </w:r>
    </w:p>
    <w:p w14:paraId="6F5CD3B1" w14:textId="1D3ECDA2" w:rsidR="00D677A8" w:rsidRPr="001E52FE" w:rsidRDefault="009E5B97" w:rsidP="00FC2F58">
      <w:pPr>
        <w:spacing w:line="480" w:lineRule="auto"/>
        <w:ind w:firstLine="720"/>
      </w:pPr>
      <w:r w:rsidRPr="001E52FE">
        <w:t>H</w:t>
      </w:r>
      <w:r w:rsidR="00D677A8" w:rsidRPr="001E52FE">
        <w:t>1 proposed recipient relational assessments (partner characteristics, interdependence, closeness, and past support) would impact recipient advice quality. These actor-effects were indistinguishable</w:t>
      </w:r>
      <w:r w:rsidR="002826F4" w:rsidRPr="001E52FE">
        <w:t xml:space="preserve"> between advisors and recipients</w:t>
      </w:r>
      <w:r w:rsidR="00D677A8" w:rsidRPr="001E52FE">
        <w:t xml:space="preserve">, thus actor-effects between relational assessment variables and advice quality were constrained between advisors and recipients. Actor ratings of partner characteristics, interdependence, and closeness did not influence that person’s </w:t>
      </w:r>
      <w:r w:rsidR="00D677A8" w:rsidRPr="001E52FE">
        <w:lastRenderedPageBreak/>
        <w:t xml:space="preserve">advice quality ratings. </w:t>
      </w:r>
      <w:r w:rsidR="00CA110B">
        <w:t>Individuals’</w:t>
      </w:r>
      <w:r w:rsidR="001B15E7">
        <w:t xml:space="preserve"> ratings of partner</w:t>
      </w:r>
      <w:r w:rsidR="00D677A8" w:rsidRPr="001E52FE">
        <w:t xml:space="preserve"> past support </w:t>
      </w:r>
      <w:r w:rsidR="001B15E7">
        <w:t>positively</w:t>
      </w:r>
      <w:r w:rsidR="00D677A8" w:rsidRPr="001E52FE">
        <w:t xml:space="preserve"> predicted </w:t>
      </w:r>
      <w:r w:rsidR="00827F8B">
        <w:t>their</w:t>
      </w:r>
      <w:r w:rsidR="00D677A8" w:rsidRPr="001E52FE">
        <w:t xml:space="preserve"> advice quality ratings (β = .41, </w:t>
      </w:r>
      <w:r w:rsidR="00D677A8" w:rsidRPr="001E52FE">
        <w:rPr>
          <w:i/>
        </w:rPr>
        <w:t>p &lt;</w:t>
      </w:r>
      <w:r w:rsidR="00D677A8" w:rsidRPr="001E52FE">
        <w:t xml:space="preserve"> .001</w:t>
      </w:r>
      <w:r w:rsidR="0073720B" w:rsidRPr="001E52FE">
        <w:t>). H</w:t>
      </w:r>
      <w:r w:rsidR="00D677A8" w:rsidRPr="001E52FE">
        <w:t xml:space="preserve">1 was partially supported for advisors and recipients. </w:t>
      </w:r>
    </w:p>
    <w:p w14:paraId="573212AD" w14:textId="5DCBE8F2" w:rsidR="00D677A8" w:rsidRPr="001E52FE" w:rsidRDefault="006B0979" w:rsidP="00FC2F58">
      <w:pPr>
        <w:spacing w:line="480" w:lineRule="auto"/>
      </w:pPr>
      <w:r w:rsidRPr="001E52FE">
        <w:tab/>
        <w:t>H</w:t>
      </w:r>
      <w:r w:rsidR="00D677A8" w:rsidRPr="001E52FE">
        <w:t xml:space="preserve">2 proposed </w:t>
      </w:r>
      <w:r w:rsidR="00051C93" w:rsidRPr="001E52FE">
        <w:t>recipient</w:t>
      </w:r>
      <w:r w:rsidR="00D677A8" w:rsidRPr="001E52FE">
        <w:t xml:space="preserve"> advice quality would be positive associated with </w:t>
      </w:r>
      <w:r w:rsidR="00051C93" w:rsidRPr="001E52FE">
        <w:t xml:space="preserve">recipient </w:t>
      </w:r>
      <w:r w:rsidR="00D677A8" w:rsidRPr="001E52FE">
        <w:t xml:space="preserve">conversation satisfaction: this path was indistinguishable between advisors and recipients and was constrained. </w:t>
      </w:r>
      <w:r w:rsidR="002E10D9" w:rsidRPr="001E52FE">
        <w:t>P</w:t>
      </w:r>
      <w:r w:rsidR="009C59F1" w:rsidRPr="001E52FE">
        <w:t xml:space="preserve">articipant </w:t>
      </w:r>
      <w:r w:rsidR="00D677A8" w:rsidRPr="001E52FE">
        <w:t xml:space="preserve">advice quality ratings </w:t>
      </w:r>
      <w:r w:rsidR="00077A70">
        <w:t>were</w:t>
      </w:r>
      <w:r w:rsidR="002E10D9" w:rsidRPr="001E52FE">
        <w:t xml:space="preserve"> positively </w:t>
      </w:r>
      <w:r w:rsidR="00D677A8" w:rsidRPr="001E52FE">
        <w:t xml:space="preserve">associated with </w:t>
      </w:r>
      <w:r w:rsidR="002E10D9" w:rsidRPr="001E52FE">
        <w:t>their</w:t>
      </w:r>
      <w:r w:rsidR="00D677A8" w:rsidRPr="001E52FE">
        <w:t xml:space="preserve"> conversation satisfaction (β = .36, </w:t>
      </w:r>
      <w:r w:rsidR="00D677A8" w:rsidRPr="001E52FE">
        <w:rPr>
          <w:i/>
        </w:rPr>
        <w:t>p &lt;</w:t>
      </w:r>
      <w:r w:rsidR="00D677A8" w:rsidRPr="001E52FE">
        <w:t xml:space="preserve"> .001).</w:t>
      </w:r>
      <w:r w:rsidR="002567A0" w:rsidRPr="001E52FE">
        <w:t xml:space="preserve"> H</w:t>
      </w:r>
      <w:r w:rsidR="00D677A8" w:rsidRPr="001E52FE">
        <w:t>2 was supported for advisors and recipients.</w:t>
      </w:r>
    </w:p>
    <w:p w14:paraId="37036DE9" w14:textId="6F58B955" w:rsidR="00D677A8" w:rsidRPr="001E52FE" w:rsidRDefault="00D677A8" w:rsidP="00FC2F58">
      <w:pPr>
        <w:spacing w:line="480" w:lineRule="auto"/>
      </w:pPr>
      <w:r w:rsidRPr="001E52FE">
        <w:tab/>
        <w:t xml:space="preserve">H3 proposed </w:t>
      </w:r>
      <w:r w:rsidR="0054668A" w:rsidRPr="001E52FE">
        <w:t>recipient</w:t>
      </w:r>
      <w:r w:rsidRPr="001E52FE">
        <w:t xml:space="preserve"> relational assessments would impact </w:t>
      </w:r>
      <w:r w:rsidR="0054668A" w:rsidRPr="001E52FE">
        <w:t>recipient</w:t>
      </w:r>
      <w:r w:rsidRPr="001E52FE">
        <w:t xml:space="preserve"> con</w:t>
      </w:r>
      <w:r w:rsidR="007E5F51">
        <w:t>versation satisfaction directly</w:t>
      </w:r>
      <w:r w:rsidRPr="001E52FE">
        <w:t xml:space="preserve"> and indirectly through </w:t>
      </w:r>
      <w:r w:rsidR="0054668A" w:rsidRPr="001E52FE">
        <w:t>recipient</w:t>
      </w:r>
      <w:r w:rsidRPr="001E52FE">
        <w:t xml:space="preserve"> advice quality ratings. Three direct effects on conversation satisfaction were indistinguishable between advisors and recipients: partner characteristics, interdependence, and past support. Only past support significantly predicted conversation satisfaction, with greater reports of past support predicting greater conversation satisfaction (β = .26, </w:t>
      </w:r>
      <w:r w:rsidRPr="001E52FE">
        <w:rPr>
          <w:i/>
        </w:rPr>
        <w:t>p =</w:t>
      </w:r>
      <w:r w:rsidRPr="001E52FE">
        <w:t xml:space="preserve"> .01). The</w:t>
      </w:r>
      <w:r w:rsidR="00E83D29" w:rsidRPr="001E52FE">
        <w:t xml:space="preserve"> direct actor effect</w:t>
      </w:r>
      <w:r w:rsidRPr="001E52FE">
        <w:t xml:space="preserve"> between closeness and conversation satisfaction varied based on role: recipients’ closeness ratings did not directly predict their conversation satisfaction, but increased advisor closeness ratings marginally predicted lowered conversation satisfaction (β = -.17, </w:t>
      </w:r>
      <w:r w:rsidRPr="001E52FE">
        <w:rPr>
          <w:i/>
        </w:rPr>
        <w:t>p =</w:t>
      </w:r>
      <w:r w:rsidRPr="001E52FE">
        <w:t xml:space="preserve"> .07). Both advisors and recipients had one significant indirect actor-effect: greater actor past support </w:t>
      </w:r>
      <w:r w:rsidR="00333023">
        <w:t xml:space="preserve">ratings </w:t>
      </w:r>
      <w:r w:rsidRPr="001E52FE">
        <w:t xml:space="preserve">lead to greater actor conversation satisfaction through the positive impact on actor advice quality ratings (B = .15, </w:t>
      </w:r>
      <w:r w:rsidR="00F417F8" w:rsidRPr="001E52FE">
        <w:t>95% CI = [.06, .27]</w:t>
      </w:r>
      <w:r w:rsidRPr="001E52FE">
        <w:t>). H3 was partially supported.</w:t>
      </w:r>
    </w:p>
    <w:p w14:paraId="199C4F2D" w14:textId="77777777" w:rsidR="00D677A8" w:rsidRPr="001E52FE" w:rsidRDefault="00D677A8" w:rsidP="00FC2F58">
      <w:pPr>
        <w:spacing w:line="480" w:lineRule="auto"/>
      </w:pPr>
      <w:r w:rsidRPr="001E52FE">
        <w:rPr>
          <w:b/>
        </w:rPr>
        <w:t>Partner Effects</w:t>
      </w:r>
    </w:p>
    <w:p w14:paraId="1C96286C" w14:textId="37A497EC" w:rsidR="00D677A8" w:rsidRPr="001E52FE" w:rsidRDefault="00D677A8" w:rsidP="00FC2F58">
      <w:pPr>
        <w:spacing w:line="480" w:lineRule="auto"/>
      </w:pPr>
      <w:r w:rsidRPr="001E52FE">
        <w:tab/>
        <w:t xml:space="preserve">The best fitting model included partner-effects for both advisors and recipients. Three of the partner relational assessment to actor advice quality effects were indistinguishable </w:t>
      </w:r>
      <w:r w:rsidR="006826DE" w:rsidRPr="001E52FE">
        <w:t>between advisors and recipients for</w:t>
      </w:r>
      <w:r w:rsidRPr="001E52FE">
        <w:t xml:space="preserve"> partner characteristics, closeness, and past support. Only one of these three effects was statistically significant: as the partner’s rating of actor characteristics increased, </w:t>
      </w:r>
      <w:r w:rsidRPr="001E52FE">
        <w:lastRenderedPageBreak/>
        <w:t xml:space="preserve">actor advice quality ratings decreased (β = -.30, </w:t>
      </w:r>
      <w:r w:rsidRPr="001E52FE">
        <w:rPr>
          <w:i/>
        </w:rPr>
        <w:t>p =</w:t>
      </w:r>
      <w:r w:rsidRPr="001E52FE">
        <w:t xml:space="preserve"> .01). The partner-effect of interdependence on advice quality varied by role: higher advisor interdependence ratings led to lower recipient advice quality ratings (β = -.23, </w:t>
      </w:r>
      <w:r w:rsidRPr="001E52FE">
        <w:rPr>
          <w:i/>
        </w:rPr>
        <w:t>p =</w:t>
      </w:r>
      <w:r w:rsidRPr="001E52FE">
        <w:t xml:space="preserve"> .01), but recipient interdependence ratings </w:t>
      </w:r>
      <w:r w:rsidR="005C1ED2" w:rsidRPr="001E52FE">
        <w:t>did</w:t>
      </w:r>
      <w:r w:rsidRPr="001E52FE">
        <w:t xml:space="preserve"> not </w:t>
      </w:r>
      <w:r w:rsidR="00CC61C6">
        <w:t>significantly</w:t>
      </w:r>
      <w:r w:rsidRPr="001E52FE">
        <w:t xml:space="preserve"> </w:t>
      </w:r>
      <w:r w:rsidR="005C1ED2" w:rsidRPr="001E52FE">
        <w:t>influence</w:t>
      </w:r>
      <w:r w:rsidRPr="001E52FE">
        <w:t xml:space="preserve"> advisor advice quality.</w:t>
      </w:r>
    </w:p>
    <w:p w14:paraId="47997E1E" w14:textId="2CB82E75" w:rsidR="00D677A8" w:rsidRPr="001E52FE" w:rsidRDefault="00D677A8" w:rsidP="00FC2F58">
      <w:pPr>
        <w:spacing w:line="480" w:lineRule="auto"/>
      </w:pPr>
      <w:r w:rsidRPr="001E52FE">
        <w:tab/>
        <w:t xml:space="preserve">The effect of partner advice quality ratings on actor conversation satisfaction varied by role. </w:t>
      </w:r>
      <w:r w:rsidR="00E62963">
        <w:t>As</w:t>
      </w:r>
      <w:r w:rsidRPr="001E52FE">
        <w:t xml:space="preserve"> advisors rated advice quality as higher, recipients reported lower conversation satisfaction (β = -.13, </w:t>
      </w:r>
      <w:r w:rsidRPr="001E52FE">
        <w:rPr>
          <w:i/>
        </w:rPr>
        <w:t>p =</w:t>
      </w:r>
      <w:r w:rsidRPr="001E52FE">
        <w:t xml:space="preserve"> .05). </w:t>
      </w:r>
      <w:r w:rsidR="00E62963">
        <w:t>As</w:t>
      </w:r>
      <w:r w:rsidRPr="001E52FE">
        <w:t xml:space="preserve"> recipients rated advice quality as higher, advisors reported higher conversation satisfaction (β = .13, </w:t>
      </w:r>
      <w:r w:rsidRPr="001E52FE">
        <w:rPr>
          <w:i/>
        </w:rPr>
        <w:t>p =</w:t>
      </w:r>
      <w:r w:rsidRPr="001E52FE">
        <w:t xml:space="preserve"> .07), although this was marginally significant.</w:t>
      </w:r>
    </w:p>
    <w:p w14:paraId="0E18D575" w14:textId="77777777" w:rsidR="00D677A8" w:rsidRPr="001E52FE" w:rsidRDefault="00D677A8" w:rsidP="00FC2F58">
      <w:pPr>
        <w:spacing w:line="480" w:lineRule="auto"/>
      </w:pPr>
      <w:r w:rsidRPr="001E52FE">
        <w:tab/>
        <w:t xml:space="preserve">Some indirect partner effects from relational assessment to conversation satisfaction were statistically significant through advice quality. </w:t>
      </w:r>
      <w:r w:rsidR="006B62F2" w:rsidRPr="001E52FE">
        <w:t xml:space="preserve">Because indirect effects were mediated through two variables (advisor and recipient advice quality), </w:t>
      </w:r>
      <w:r w:rsidR="00063A77" w:rsidRPr="001E52FE">
        <w:t>specific</w:t>
      </w:r>
      <w:r w:rsidR="00CA2E5F" w:rsidRPr="001E52FE">
        <w:t xml:space="preserve"> mediation paths were statistically significant </w:t>
      </w:r>
      <w:r w:rsidR="00556AC2" w:rsidRPr="001E52FE">
        <w:t>when</w:t>
      </w:r>
      <w:r w:rsidR="00CA2E5F" w:rsidRPr="001E52FE">
        <w:t xml:space="preserve"> the total indirect effect was not. </w:t>
      </w:r>
      <w:r w:rsidR="00183454" w:rsidRPr="001E52FE">
        <w:t xml:space="preserve">Only </w:t>
      </w:r>
      <w:r w:rsidR="00C8305E" w:rsidRPr="001E52FE">
        <w:t xml:space="preserve">cases in which total indirect effects were statistically significant are reported. </w:t>
      </w:r>
      <w:r w:rsidRPr="001E52FE">
        <w:t xml:space="preserve">For both advisors and recipients, partner </w:t>
      </w:r>
      <w:r w:rsidR="00253986" w:rsidRPr="001E52FE">
        <w:t>ratings</w:t>
      </w:r>
      <w:r w:rsidRPr="001E52FE">
        <w:t xml:space="preserve"> of actor characteristics had a negative indirect impact on actor conversation satisfaction through actor advice quality (B = -.11, </w:t>
      </w:r>
      <w:r w:rsidR="00F417F8" w:rsidRPr="001E52FE">
        <w:t>95% CI = [-.19, -.04])</w:t>
      </w:r>
      <w:r w:rsidRPr="001E52FE">
        <w:t xml:space="preserve">. The distinguishable negative effect of advisor interdependence on recipient advice quality caused a negative, indirect effect on recipient conversation satisfaction </w:t>
      </w:r>
      <w:r w:rsidR="00F417F8" w:rsidRPr="001E52FE">
        <w:t>(B = -.08, 95% CI = [-.16, -.03]), and on advisor conversation satisfaction (B = -.03, 95% CI = [-.09, .00]).</w:t>
      </w:r>
    </w:p>
    <w:p w14:paraId="69C1A5AB" w14:textId="1EAC3A73" w:rsidR="00D677A8" w:rsidRPr="001E52FE" w:rsidRDefault="00D14FF0" w:rsidP="00FC2F58">
      <w:pPr>
        <w:spacing w:line="480" w:lineRule="auto"/>
        <w:ind w:firstLine="720"/>
      </w:pPr>
      <w:r w:rsidRPr="001E52FE">
        <w:t>RQ1</w:t>
      </w:r>
      <w:r w:rsidR="00D677A8" w:rsidRPr="001E52FE">
        <w:t>, which inquired about advisor actor-effects and advisor and recipient partner-effects</w:t>
      </w:r>
      <w:r w:rsidR="00EC1FE7" w:rsidRPr="001E52FE">
        <w:t>,</w:t>
      </w:r>
      <w:r w:rsidR="00D677A8" w:rsidRPr="001E52FE">
        <w:t xml:space="preserve"> was answered: most advisor actor-effects were indistinguishable from recipient actor-effects, and partner-effects were present for both advisor and recipients between (a) relational assessments and advice quality, (b) advice quality and conversation satisfaction, and (c) indirectly between relational assessments and conversation satisfaction.</w:t>
      </w:r>
    </w:p>
    <w:p w14:paraId="44FD8BDB" w14:textId="77777777" w:rsidR="00D53A15" w:rsidRPr="001E52FE" w:rsidRDefault="00D53A15" w:rsidP="00FC2F58">
      <w:pPr>
        <w:spacing w:line="480" w:lineRule="auto"/>
        <w:jc w:val="center"/>
        <w:rPr>
          <w:rFonts w:cs="Times New Roman"/>
        </w:rPr>
      </w:pPr>
      <w:r w:rsidRPr="001E52FE">
        <w:rPr>
          <w:rFonts w:cs="Times New Roman"/>
          <w:b/>
        </w:rPr>
        <w:lastRenderedPageBreak/>
        <w:t>Discussion</w:t>
      </w:r>
    </w:p>
    <w:p w14:paraId="45B8B765" w14:textId="5DA7AAF2" w:rsidR="002036B6" w:rsidRPr="001E52FE" w:rsidRDefault="00807F46" w:rsidP="00F20F52">
      <w:pPr>
        <w:spacing w:line="480" w:lineRule="auto"/>
        <w:ind w:firstLine="720"/>
      </w:pPr>
      <w:bookmarkStart w:id="2" w:name="_Hlk484647981"/>
      <w:r w:rsidRPr="001E52FE">
        <w:t>To date, theorizing about advice has been constrained by insufficie</w:t>
      </w:r>
      <w:r w:rsidR="00A82012" w:rsidRPr="001E52FE">
        <w:t xml:space="preserve">nt focus on advice interactions, </w:t>
      </w:r>
      <w:r w:rsidRPr="001E52FE">
        <w:t>advising relationships</w:t>
      </w:r>
      <w:r w:rsidR="00A82012" w:rsidRPr="001E52FE">
        <w:t>, and the perspective of the advisor</w:t>
      </w:r>
      <w:r w:rsidRPr="001E52FE">
        <w:t xml:space="preserve">. </w:t>
      </w:r>
      <w:r w:rsidR="00A82012" w:rsidRPr="001E52FE">
        <w:t xml:space="preserve">In this paper, we began to extend </w:t>
      </w:r>
      <w:r w:rsidR="00C22420" w:rsidRPr="001E52FE">
        <w:t>A</w:t>
      </w:r>
      <w:r w:rsidR="00A82012" w:rsidRPr="001E52FE">
        <w:t>dvice Response Theory (AR</w:t>
      </w:r>
      <w:r w:rsidR="00E46C99" w:rsidRPr="001E52FE">
        <w:t>T)</w:t>
      </w:r>
      <w:r w:rsidR="00632ECB" w:rsidRPr="001E52FE">
        <w:t xml:space="preserve">, </w:t>
      </w:r>
      <w:r w:rsidR="00E46C99" w:rsidRPr="001E52FE">
        <w:t>address</w:t>
      </w:r>
      <w:r w:rsidR="00632ECB" w:rsidRPr="001E52FE">
        <w:t>ing</w:t>
      </w:r>
      <w:r w:rsidR="00E46C99" w:rsidRPr="001E52FE">
        <w:t xml:space="preserve"> these limitations by</w:t>
      </w:r>
      <w:r w:rsidR="00A82012" w:rsidRPr="001E52FE">
        <w:t xml:space="preserve"> examining how relational assessments influence advice quality and satisfaction with the supportive conversation for both advisor and recipient. </w:t>
      </w:r>
      <w:r w:rsidR="00E200ED" w:rsidRPr="001E52FE">
        <w:t xml:space="preserve">An actor-partner interdependence model demonstrated </w:t>
      </w:r>
      <w:r w:rsidR="003F7F36" w:rsidRPr="001E52FE">
        <w:t xml:space="preserve">support for the </w:t>
      </w:r>
      <w:r w:rsidR="003F7F36" w:rsidRPr="001E52FE">
        <w:rPr>
          <w:i/>
        </w:rPr>
        <w:t>mutual influence model</w:t>
      </w:r>
      <w:r w:rsidR="000E547F" w:rsidRPr="001E52FE">
        <w:t>. This model</w:t>
      </w:r>
      <w:r w:rsidR="00211D48" w:rsidRPr="001E52FE">
        <w:t xml:space="preserve"> </w:t>
      </w:r>
      <w:r w:rsidR="00D46CC8" w:rsidRPr="001E52FE">
        <w:t>proposed</w:t>
      </w:r>
      <w:r w:rsidR="00EB0B6E" w:rsidRPr="001E52FE">
        <w:t xml:space="preserve"> that</w:t>
      </w:r>
      <w:r w:rsidR="00D46CC8" w:rsidRPr="001E52FE">
        <w:t xml:space="preserve"> relational assessments, advice quality, and conversation satisfaction </w:t>
      </w:r>
      <w:r w:rsidR="00D13CBC" w:rsidRPr="001E52FE">
        <w:t>are</w:t>
      </w:r>
      <w:r w:rsidR="00D46CC8" w:rsidRPr="001E52FE">
        <w:t xml:space="preserve"> </w:t>
      </w:r>
      <w:r w:rsidR="00195D91" w:rsidRPr="001E52FE">
        <w:t>related</w:t>
      </w:r>
      <w:r w:rsidR="00D46CC8" w:rsidRPr="001E52FE">
        <w:t xml:space="preserve"> through an individual’s own assessment of these elements, but that </w:t>
      </w:r>
      <w:r w:rsidR="00EB0B6E" w:rsidRPr="001E52FE">
        <w:t xml:space="preserve">both </w:t>
      </w:r>
      <w:r w:rsidR="00D46CC8" w:rsidRPr="001E52FE">
        <w:t xml:space="preserve">individuals </w:t>
      </w:r>
      <w:r w:rsidR="00D13CBC" w:rsidRPr="001E52FE">
        <w:t xml:space="preserve">are </w:t>
      </w:r>
      <w:r w:rsidR="00403145" w:rsidRPr="001E52FE">
        <w:t xml:space="preserve">also </w:t>
      </w:r>
      <w:r w:rsidR="00D46CC8" w:rsidRPr="001E52FE">
        <w:t>impacted by their partner’s assessments.</w:t>
      </w:r>
      <w:r w:rsidR="003349BE" w:rsidRPr="001E52FE">
        <w:t xml:space="preserve"> </w:t>
      </w:r>
      <w:r w:rsidR="002A1D2A" w:rsidRPr="001E52FE">
        <w:t xml:space="preserve">Many of these effects were </w:t>
      </w:r>
      <w:r w:rsidR="00D4474C" w:rsidRPr="001E52FE">
        <w:t xml:space="preserve">statistically </w:t>
      </w:r>
      <w:r w:rsidR="002A1D2A" w:rsidRPr="001E52FE">
        <w:t xml:space="preserve">indistinguishable by role (i.e., </w:t>
      </w:r>
      <w:r w:rsidR="00977C9D" w:rsidRPr="001E52FE">
        <w:t xml:space="preserve">were </w:t>
      </w:r>
      <w:r w:rsidR="002A1D2A" w:rsidRPr="001E52FE">
        <w:t>the sa</w:t>
      </w:r>
      <w:r w:rsidR="00CC5D25" w:rsidRPr="001E52FE">
        <w:t>me for advisors and recipients)</w:t>
      </w:r>
      <w:r w:rsidR="002A1D2A" w:rsidRPr="001E52FE">
        <w:t xml:space="preserve">. </w:t>
      </w:r>
      <w:r w:rsidR="00D12EDF" w:rsidRPr="001E52FE">
        <w:t>A</w:t>
      </w:r>
      <w:r w:rsidR="00F676D5" w:rsidRPr="001E52FE">
        <w:t xml:space="preserve">ctor-effects </w:t>
      </w:r>
      <w:r w:rsidR="0062300F" w:rsidRPr="001E52FE">
        <w:t>(</w:t>
      </w:r>
      <w:r w:rsidR="00D76BBC" w:rsidRPr="001E52FE">
        <w:t xml:space="preserve">the impact of </w:t>
      </w:r>
      <w:r w:rsidR="0062300F" w:rsidRPr="001E52FE">
        <w:t xml:space="preserve">one participant’s </w:t>
      </w:r>
      <w:r w:rsidR="006C134A" w:rsidRPr="001E52FE">
        <w:t xml:space="preserve">ratings of </w:t>
      </w:r>
      <w:r w:rsidR="00D76BBC" w:rsidRPr="001E52FE">
        <w:t>relational assessments</w:t>
      </w:r>
      <w:r w:rsidR="00DA54F5" w:rsidRPr="001E52FE">
        <w:t xml:space="preserve"> on advice quality, and advice quality on conversation satisfaction) </w:t>
      </w:r>
      <w:r w:rsidR="0066293E" w:rsidRPr="001E52FE">
        <w:t xml:space="preserve">were indistinguishable by role and </w:t>
      </w:r>
      <w:r w:rsidR="00CA5146" w:rsidRPr="001E52FE">
        <w:t xml:space="preserve">behaved as </w:t>
      </w:r>
      <w:r w:rsidR="00B11387" w:rsidRPr="001E52FE">
        <w:t>predicted</w:t>
      </w:r>
      <w:r w:rsidR="009B489F" w:rsidRPr="001E52FE">
        <w:t>.</w:t>
      </w:r>
      <w:r w:rsidR="0057285C" w:rsidRPr="001E52FE">
        <w:t xml:space="preserve"> </w:t>
      </w:r>
      <w:r w:rsidR="009B489F" w:rsidRPr="001E52FE">
        <w:t>P</w:t>
      </w:r>
      <w:r w:rsidR="0057285C" w:rsidRPr="001E52FE">
        <w:t>articipant</w:t>
      </w:r>
      <w:r w:rsidR="00C117E8" w:rsidRPr="001E52FE">
        <w:t>s</w:t>
      </w:r>
      <w:r w:rsidR="0057285C" w:rsidRPr="001E52FE">
        <w:t xml:space="preserve"> who </w:t>
      </w:r>
      <w:r w:rsidR="00EC2C0C" w:rsidRPr="001E52FE">
        <w:t>thought</w:t>
      </w:r>
      <w:r w:rsidR="0057285C" w:rsidRPr="001E52FE">
        <w:t xml:space="preserve"> their partner</w:t>
      </w:r>
      <w:r w:rsidR="00EC2C63" w:rsidRPr="001E52FE">
        <w:t>s</w:t>
      </w:r>
      <w:r w:rsidR="0057285C" w:rsidRPr="001E52FE">
        <w:t xml:space="preserve"> </w:t>
      </w:r>
      <w:r w:rsidR="00194838" w:rsidRPr="001E52FE">
        <w:t>gave more support during past interactions rated advice</w:t>
      </w:r>
      <w:r w:rsidR="00A62FE1" w:rsidRPr="001E52FE">
        <w:t xml:space="preserve"> quality</w:t>
      </w:r>
      <w:r w:rsidR="00194838" w:rsidRPr="001E52FE">
        <w:t xml:space="preserve"> in the current interaction as higher, and </w:t>
      </w:r>
      <w:r w:rsidR="00D94AEF" w:rsidRPr="001E52FE">
        <w:t xml:space="preserve">higher rating of </w:t>
      </w:r>
      <w:r w:rsidR="00194838" w:rsidRPr="001E52FE">
        <w:t xml:space="preserve">both </w:t>
      </w:r>
      <w:r w:rsidR="00785A4A" w:rsidRPr="001E52FE">
        <w:t>elements</w:t>
      </w:r>
      <w:r w:rsidR="00194838" w:rsidRPr="001E52FE">
        <w:t xml:space="preserve"> </w:t>
      </w:r>
      <w:r w:rsidR="005B38B8" w:rsidRPr="001E52FE">
        <w:t xml:space="preserve">corresponded with greater </w:t>
      </w:r>
      <w:r w:rsidR="00616814" w:rsidRPr="001E52FE">
        <w:t>satisfaction</w:t>
      </w:r>
      <w:r w:rsidR="002C5ED5" w:rsidRPr="001E52FE">
        <w:t xml:space="preserve"> with the conversation</w:t>
      </w:r>
      <w:r w:rsidR="00194838" w:rsidRPr="001E52FE">
        <w:t xml:space="preserve">. </w:t>
      </w:r>
      <w:r w:rsidR="00616814" w:rsidRPr="001E52FE">
        <w:t>T</w:t>
      </w:r>
      <w:r w:rsidR="006E13D1" w:rsidRPr="001E52FE">
        <w:t xml:space="preserve">he mutual influence model was supported by the presence of partner-effects for advisors and recipients, </w:t>
      </w:r>
      <w:r w:rsidR="00616814" w:rsidRPr="001E52FE">
        <w:t xml:space="preserve">but </w:t>
      </w:r>
      <w:r w:rsidR="00DA2B57" w:rsidRPr="001E52FE">
        <w:t>the direction of these effects was unexpected</w:t>
      </w:r>
      <w:r w:rsidR="00DA780B" w:rsidRPr="001E52FE">
        <w:t>.</w:t>
      </w:r>
      <w:r w:rsidR="005C0BCD" w:rsidRPr="001E52FE">
        <w:t xml:space="preserve"> Specifically, one individual’s</w:t>
      </w:r>
      <w:r w:rsidR="00E64359" w:rsidRPr="001E52FE">
        <w:t xml:space="preserve"> positive</w:t>
      </w:r>
      <w:r w:rsidR="005C0BCD" w:rsidRPr="001E52FE">
        <w:t xml:space="preserve"> assessment of the relationship negatively impacted the other’s ratings of advice quality, especially for advice recipients.</w:t>
      </w:r>
      <w:r w:rsidR="00B11387" w:rsidRPr="001E52FE">
        <w:t xml:space="preserve"> </w:t>
      </w:r>
    </w:p>
    <w:p w14:paraId="4F0EBC06" w14:textId="04FD9300" w:rsidR="00593311" w:rsidRPr="001E52FE" w:rsidRDefault="00DB1084" w:rsidP="00F20F52">
      <w:pPr>
        <w:spacing w:line="480" w:lineRule="auto"/>
        <w:ind w:firstLine="720"/>
      </w:pPr>
      <w:r w:rsidRPr="001E52FE">
        <w:t>Theoretically, our findings sup</w:t>
      </w:r>
      <w:r w:rsidR="0073691B" w:rsidRPr="001E52FE">
        <w:t xml:space="preserve">port </w:t>
      </w:r>
      <w:r w:rsidR="00D45725" w:rsidRPr="001E52FE">
        <w:t>modifying</w:t>
      </w:r>
      <w:r w:rsidR="0073691B" w:rsidRPr="001E52FE">
        <w:t xml:space="preserve"> </w:t>
      </w:r>
      <w:r w:rsidR="00BC2C6B" w:rsidRPr="001E52FE">
        <w:t xml:space="preserve">current </w:t>
      </w:r>
      <w:r w:rsidR="0073691B" w:rsidRPr="001E52FE">
        <w:t>ART propositions</w:t>
      </w:r>
      <w:r w:rsidRPr="001E52FE">
        <w:t xml:space="preserve"> </w:t>
      </w:r>
      <w:r w:rsidR="0073691B" w:rsidRPr="001E52FE">
        <w:t xml:space="preserve">about advisor characteristics to </w:t>
      </w:r>
      <w:r w:rsidR="00EB5AFB">
        <w:t xml:space="preserve">encompass </w:t>
      </w:r>
      <w:r w:rsidR="0073691B" w:rsidRPr="001E52FE">
        <w:t xml:space="preserve">broader </w:t>
      </w:r>
      <w:r w:rsidR="00D45725" w:rsidRPr="001E52FE">
        <w:t xml:space="preserve">relational assessments. At the same time, they suggest that ART needs to provide a more nuanced treatment of how diverse relational assessments affect outcomes, and to recognize differences in relational influence on recipients versus advisors. These findings have </w:t>
      </w:r>
      <w:r w:rsidR="00D61402" w:rsidRPr="001E52FE">
        <w:t xml:space="preserve">practical implications for advisors and advice recipients. </w:t>
      </w:r>
      <w:r w:rsidR="00593311" w:rsidRPr="001E52FE">
        <w:t xml:space="preserve">We </w:t>
      </w:r>
      <w:r w:rsidR="00102505" w:rsidRPr="001E52FE">
        <w:t xml:space="preserve">first </w:t>
      </w:r>
      <w:r w:rsidR="00593311" w:rsidRPr="001E52FE">
        <w:t xml:space="preserve">discuss </w:t>
      </w:r>
      <w:r w:rsidR="00F60460" w:rsidRPr="001E52FE">
        <w:t xml:space="preserve">the </w:t>
      </w:r>
      <w:r w:rsidR="00F60460" w:rsidRPr="001E52FE">
        <w:lastRenderedPageBreak/>
        <w:t xml:space="preserve">impact of advice quality on conversation satisfaction, and then </w:t>
      </w:r>
      <w:r w:rsidR="000E5122" w:rsidRPr="001E52FE">
        <w:t xml:space="preserve">describe the impact of relational assessments on both these variables. </w:t>
      </w:r>
    </w:p>
    <w:bookmarkEnd w:id="2"/>
    <w:p w14:paraId="03500B6C" w14:textId="77777777" w:rsidR="00944F4A" w:rsidRPr="001E52FE" w:rsidRDefault="00475890" w:rsidP="00FC2F58">
      <w:pPr>
        <w:spacing w:line="480" w:lineRule="auto"/>
        <w:rPr>
          <w:b/>
        </w:rPr>
      </w:pPr>
      <w:r w:rsidRPr="001E52FE">
        <w:rPr>
          <w:b/>
        </w:rPr>
        <w:t>Influence of Advice on Satisfaction</w:t>
      </w:r>
      <w:r w:rsidR="00144761" w:rsidRPr="001E52FE">
        <w:rPr>
          <w:b/>
        </w:rPr>
        <w:t xml:space="preserve"> with Supportive Interaction</w:t>
      </w:r>
    </w:p>
    <w:p w14:paraId="30D2EE86" w14:textId="77777777" w:rsidR="00C946B2" w:rsidRPr="001E52FE" w:rsidRDefault="00144761" w:rsidP="00FC2F58">
      <w:pPr>
        <w:spacing w:line="480" w:lineRule="auto"/>
        <w:ind w:firstLine="720"/>
      </w:pPr>
      <w:r w:rsidRPr="001E52FE">
        <w:t xml:space="preserve">Although it might be assumed that advice quality influences satisfaction with </w:t>
      </w:r>
      <w:r w:rsidR="002D307E" w:rsidRPr="001E52FE">
        <w:t xml:space="preserve">a </w:t>
      </w:r>
      <w:r w:rsidRPr="001E52FE">
        <w:t>supportive interaction (</w:t>
      </w:r>
      <w:r w:rsidR="00EA024E" w:rsidRPr="001E52FE">
        <w:t>MacGeorge, Feng et al., 2016</w:t>
      </w:r>
      <w:r w:rsidRPr="001E52FE">
        <w:t xml:space="preserve">), prior </w:t>
      </w:r>
      <w:r w:rsidR="005341C7" w:rsidRPr="001E52FE">
        <w:t xml:space="preserve">ART </w:t>
      </w:r>
      <w:r w:rsidRPr="001E52FE">
        <w:t xml:space="preserve">research had not directly </w:t>
      </w:r>
      <w:r w:rsidR="001A04FC" w:rsidRPr="001E52FE">
        <w:t xml:space="preserve">tested this claim. </w:t>
      </w:r>
      <w:r w:rsidR="00E84ABD" w:rsidRPr="001E52FE">
        <w:t xml:space="preserve">Instead, ART research </w:t>
      </w:r>
      <w:r w:rsidR="00664E0B" w:rsidRPr="001E52FE">
        <w:t xml:space="preserve">has </w:t>
      </w:r>
      <w:r w:rsidR="00E84ABD" w:rsidRPr="001E52FE">
        <w:t>focused</w:t>
      </w:r>
      <w:r w:rsidRPr="001E52FE">
        <w:t xml:space="preserve"> on post-interaction</w:t>
      </w:r>
      <w:r w:rsidR="00B1040F" w:rsidRPr="001E52FE">
        <w:t>, recipient</w:t>
      </w:r>
      <w:r w:rsidR="002E692E" w:rsidRPr="001E52FE">
        <w:t>-focused</w:t>
      </w:r>
      <w:r w:rsidRPr="001E52FE">
        <w:t xml:space="preserve"> outcomes such as coping facilitation and implementation intention. </w:t>
      </w:r>
      <w:r w:rsidR="00FA31AA" w:rsidRPr="001E52FE">
        <w:t>S</w:t>
      </w:r>
      <w:r w:rsidR="002E692E" w:rsidRPr="001E52FE">
        <w:t xml:space="preserve">atisfaction with </w:t>
      </w:r>
      <w:r w:rsidR="00CA445C" w:rsidRPr="001E52FE">
        <w:t xml:space="preserve">a </w:t>
      </w:r>
      <w:r w:rsidR="002E692E" w:rsidRPr="001E52FE">
        <w:t xml:space="preserve">supportive conversation is especially relevant in relational contexts where it is likely to affect </w:t>
      </w:r>
      <w:r w:rsidR="00F756A5" w:rsidRPr="001E52FE">
        <w:t>willingness to engage</w:t>
      </w:r>
      <w:r w:rsidR="002E692E" w:rsidRPr="001E52FE">
        <w:t xml:space="preserve"> in future support-seeking </w:t>
      </w:r>
      <w:r w:rsidR="009C59F9" w:rsidRPr="001E52FE">
        <w:t>or</w:t>
      </w:r>
      <w:r w:rsidR="002E692E" w:rsidRPr="001E52FE">
        <w:t xml:space="preserve"> support provision. The current findings provide evidence that advice quality </w:t>
      </w:r>
      <w:r w:rsidR="00C67A12" w:rsidRPr="001E52FE">
        <w:t>i</w:t>
      </w:r>
      <w:r w:rsidR="00E26360" w:rsidRPr="001E52FE">
        <w:t>s associated with</w:t>
      </w:r>
      <w:r w:rsidR="002E692E" w:rsidRPr="001E52FE">
        <w:t xml:space="preserve"> conversational satisfaction for both recipients and advisors. </w:t>
      </w:r>
      <w:r w:rsidR="000B0A7A" w:rsidRPr="001E52FE">
        <w:t>A</w:t>
      </w:r>
      <w:r w:rsidR="00B40F1C" w:rsidRPr="001E52FE">
        <w:t xml:space="preserve">dvisors and recipients </w:t>
      </w:r>
      <w:r w:rsidR="000B0A7A" w:rsidRPr="001E52FE">
        <w:t>both</w:t>
      </w:r>
      <w:r w:rsidR="00B40F1C" w:rsidRPr="001E52FE">
        <w:t xml:space="preserve"> reported more </w:t>
      </w:r>
      <w:r w:rsidR="009E5844" w:rsidRPr="001E52FE">
        <w:t>satisfaction</w:t>
      </w:r>
      <w:r w:rsidR="00B40F1C" w:rsidRPr="001E52FE">
        <w:t xml:space="preserve"> with the conversation when they perceived the advice was of higher quality</w:t>
      </w:r>
      <w:r w:rsidR="001547D7" w:rsidRPr="001E52FE">
        <w:t xml:space="preserve">: this effect did not differ by </w:t>
      </w:r>
      <w:r w:rsidR="00A07F00" w:rsidRPr="001E52FE">
        <w:t>participant</w:t>
      </w:r>
      <w:r w:rsidR="001547D7" w:rsidRPr="001E52FE">
        <w:t xml:space="preserve"> role</w:t>
      </w:r>
      <w:r w:rsidR="00B40F1C" w:rsidRPr="001E52FE">
        <w:t xml:space="preserve">. </w:t>
      </w:r>
      <w:r w:rsidR="000F5DCB" w:rsidRPr="001E52FE">
        <w:rPr>
          <w:rFonts w:eastAsia="Calibri" w:cs="Times New Roman"/>
        </w:rPr>
        <w:t xml:space="preserve">These findings are broadly consistent with supportive communication theory, insofar as receiving higher quality support improves a wide range of outcomes for recipients (MacGeorge, Feng, &amp; Burleson, 2011) and providing higher quality support generates greater satisfaction for support providers (Spitzmuller &amp; Van Dyne, 2013). </w:t>
      </w:r>
    </w:p>
    <w:p w14:paraId="27155EAE" w14:textId="78ABE678" w:rsidR="00580880" w:rsidRPr="001E52FE" w:rsidRDefault="00902B33" w:rsidP="00FC2F58">
      <w:pPr>
        <w:spacing w:line="480" w:lineRule="auto"/>
        <w:rPr>
          <w:rFonts w:eastAsia="Calibri" w:cs="Times New Roman"/>
        </w:rPr>
      </w:pPr>
      <w:r w:rsidRPr="001E52FE">
        <w:tab/>
      </w:r>
      <w:r w:rsidR="00E921ED" w:rsidRPr="001E52FE">
        <w:t xml:space="preserve">Although </w:t>
      </w:r>
      <w:r w:rsidR="00807E00" w:rsidRPr="001E52FE">
        <w:t xml:space="preserve">actor-effects of advice quality on conversation satisfaction </w:t>
      </w:r>
      <w:r w:rsidR="001030F6" w:rsidRPr="001E52FE">
        <w:t xml:space="preserve">were </w:t>
      </w:r>
      <w:r w:rsidR="000E6F11" w:rsidRPr="001E52FE">
        <w:t>identical between roles</w:t>
      </w:r>
      <w:r w:rsidR="001030F6" w:rsidRPr="001E52FE">
        <w:t xml:space="preserve">, </w:t>
      </w:r>
      <w:r w:rsidR="00831ABF" w:rsidRPr="001E52FE">
        <w:t xml:space="preserve">advisor and recipient </w:t>
      </w:r>
      <w:r w:rsidR="004F4E63" w:rsidRPr="001E52FE">
        <w:t xml:space="preserve">outcomes differed based on their partner’s advice quality </w:t>
      </w:r>
      <w:r w:rsidR="00137DCC" w:rsidRPr="001E52FE">
        <w:t>ratings.</w:t>
      </w:r>
      <w:r w:rsidR="00815F63" w:rsidRPr="001E52FE">
        <w:t xml:space="preserve"> Advisors were more satisfied</w:t>
      </w:r>
      <w:r w:rsidR="00137DCC" w:rsidRPr="001E52FE">
        <w:t xml:space="preserve"> with the conversation when recipients rated </w:t>
      </w:r>
      <w:r w:rsidR="00855C8E" w:rsidRPr="001E52FE">
        <w:t>the advice as higher in quality</w:t>
      </w:r>
      <w:r w:rsidR="00855C8E" w:rsidRPr="001E52FE">
        <w:rPr>
          <w:rFonts w:eastAsia="Calibri" w:cs="Times New Roman"/>
        </w:rPr>
        <w:t xml:space="preserve">, supporting the contention that advisors orient to recipient perceptions </w:t>
      </w:r>
      <w:r w:rsidR="00645455" w:rsidRPr="001E52FE">
        <w:rPr>
          <w:rFonts w:eastAsia="Calibri" w:cs="Times New Roman"/>
        </w:rPr>
        <w:t>of advice</w:t>
      </w:r>
      <w:r w:rsidR="00855C8E" w:rsidRPr="001E52FE">
        <w:rPr>
          <w:rFonts w:eastAsia="Calibri" w:cs="Times New Roman"/>
        </w:rPr>
        <w:t xml:space="preserve">. Advisors likely recognize </w:t>
      </w:r>
      <w:r w:rsidR="00F756A5" w:rsidRPr="001E52FE">
        <w:rPr>
          <w:rFonts w:eastAsia="Calibri" w:cs="Times New Roman"/>
        </w:rPr>
        <w:t>when recipients are displeased by advice</w:t>
      </w:r>
      <w:r w:rsidR="00855C8E" w:rsidRPr="001E52FE">
        <w:rPr>
          <w:rFonts w:eastAsia="Calibri" w:cs="Times New Roman"/>
        </w:rPr>
        <w:t xml:space="preserve"> </w:t>
      </w:r>
      <w:r w:rsidR="002B0853" w:rsidRPr="001E52FE">
        <w:rPr>
          <w:rFonts w:eastAsia="Calibri" w:cs="Times New Roman"/>
        </w:rPr>
        <w:t>(see MacGe</w:t>
      </w:r>
      <w:r w:rsidR="00171BCC" w:rsidRPr="001E52FE">
        <w:rPr>
          <w:rFonts w:eastAsia="Calibri" w:cs="Times New Roman"/>
        </w:rPr>
        <w:t xml:space="preserve">orge, Guntzviller, Branch et al., 2016) </w:t>
      </w:r>
      <w:r w:rsidR="00855C8E" w:rsidRPr="001E52FE">
        <w:rPr>
          <w:rFonts w:eastAsia="Calibri" w:cs="Times New Roman"/>
        </w:rPr>
        <w:t xml:space="preserve">and accordingly are pleased when recipients </w:t>
      </w:r>
      <w:r w:rsidR="001014EC" w:rsidRPr="001E52FE">
        <w:rPr>
          <w:rFonts w:eastAsia="Calibri" w:cs="Times New Roman"/>
        </w:rPr>
        <w:t xml:space="preserve">value </w:t>
      </w:r>
      <w:r w:rsidR="00F756A5" w:rsidRPr="001E52FE">
        <w:rPr>
          <w:rFonts w:eastAsia="Calibri" w:cs="Times New Roman"/>
        </w:rPr>
        <w:t>their</w:t>
      </w:r>
      <w:r w:rsidR="001014EC" w:rsidRPr="001E52FE">
        <w:rPr>
          <w:rFonts w:eastAsia="Calibri" w:cs="Times New Roman"/>
        </w:rPr>
        <w:t xml:space="preserve"> suggestions</w:t>
      </w:r>
      <w:r w:rsidR="00855C8E" w:rsidRPr="001E52FE">
        <w:rPr>
          <w:rFonts w:eastAsia="Calibri" w:cs="Times New Roman"/>
        </w:rPr>
        <w:t>.</w:t>
      </w:r>
      <w:r w:rsidR="00AB135E" w:rsidRPr="001E52FE">
        <w:rPr>
          <w:rFonts w:eastAsia="Calibri" w:cs="Times New Roman"/>
        </w:rPr>
        <w:t xml:space="preserve"> </w:t>
      </w:r>
      <w:r w:rsidR="00AA6E4B" w:rsidRPr="001E52FE">
        <w:t>However,</w:t>
      </w:r>
      <w:r w:rsidR="00407B5E" w:rsidRPr="001E52FE">
        <w:t xml:space="preserve"> unlike advisors,</w:t>
      </w:r>
      <w:r w:rsidR="00AA6E4B" w:rsidRPr="001E52FE">
        <w:t xml:space="preserve"> recipients reported </w:t>
      </w:r>
      <w:r w:rsidR="00AA6E4B" w:rsidRPr="001E52FE">
        <w:rPr>
          <w:i/>
        </w:rPr>
        <w:t xml:space="preserve">lower </w:t>
      </w:r>
      <w:r w:rsidR="00AA6E4B" w:rsidRPr="001E52FE">
        <w:t xml:space="preserve">conversation satisfaction when </w:t>
      </w:r>
      <w:r w:rsidR="00AA6E4B" w:rsidRPr="001E52FE">
        <w:lastRenderedPageBreak/>
        <w:t xml:space="preserve">advisors rated their advice as higher quality. </w:t>
      </w:r>
      <w:r w:rsidR="00580880" w:rsidRPr="001E52FE">
        <w:rPr>
          <w:rFonts w:eastAsia="Calibri" w:cs="Times New Roman"/>
        </w:rPr>
        <w:t>Advisors may overestimate the utility of their advice, strongly advocating for their “good” solution</w:t>
      </w:r>
      <w:r w:rsidR="00D61402" w:rsidRPr="001E52FE">
        <w:rPr>
          <w:rFonts w:eastAsia="Calibri" w:cs="Times New Roman"/>
        </w:rPr>
        <w:t>s</w:t>
      </w:r>
      <w:r w:rsidR="00580880" w:rsidRPr="001E52FE">
        <w:rPr>
          <w:rFonts w:eastAsia="Calibri" w:cs="Times New Roman"/>
        </w:rPr>
        <w:t>, especially if recipients initially reject the advice as inefficacious or unfeasible (</w:t>
      </w:r>
      <w:r w:rsidR="006407AC" w:rsidRPr="001E52FE">
        <w:rPr>
          <w:rFonts w:eastAsia="Calibri" w:cs="Times New Roman"/>
        </w:rPr>
        <w:t>MacGeorge, Guntzviller, Branch et al., 2016</w:t>
      </w:r>
      <w:r w:rsidR="00580880" w:rsidRPr="001E52FE">
        <w:rPr>
          <w:rFonts w:eastAsia="Calibri" w:cs="Times New Roman"/>
        </w:rPr>
        <w:t>). Advisors who perceive a solution to be beneficial to the recipient may inadvertently threaten the recipient’s face in their attempt to articulate the advice quality (Goldsmith &amp; Fitch, 1997). Alternatively, advisors may judge their proposed solutions harshly, but recipients may be relatively satisfied with the supportive interaction because their friends demonstrated support, even if the advised action itself is not an ideal solution.</w:t>
      </w:r>
    </w:p>
    <w:p w14:paraId="79DDF513" w14:textId="77777777" w:rsidR="002E1DB0" w:rsidRPr="001E52FE" w:rsidRDefault="00996492" w:rsidP="00FC2F58">
      <w:pPr>
        <w:spacing w:line="480" w:lineRule="auto"/>
        <w:rPr>
          <w:b/>
        </w:rPr>
      </w:pPr>
      <w:r w:rsidRPr="001E52FE">
        <w:rPr>
          <w:b/>
        </w:rPr>
        <w:t>Influence</w:t>
      </w:r>
      <w:r w:rsidR="008A127F" w:rsidRPr="001E52FE">
        <w:rPr>
          <w:b/>
        </w:rPr>
        <w:t xml:space="preserve"> of </w:t>
      </w:r>
      <w:r w:rsidR="00187BFB" w:rsidRPr="001E52FE">
        <w:rPr>
          <w:b/>
        </w:rPr>
        <w:t xml:space="preserve">Relational Assessments </w:t>
      </w:r>
      <w:r w:rsidR="00762132" w:rsidRPr="001E52FE">
        <w:rPr>
          <w:b/>
        </w:rPr>
        <w:t>on Advice and Conversation</w:t>
      </w:r>
    </w:p>
    <w:p w14:paraId="530FDF20" w14:textId="2157EF21" w:rsidR="000A6618" w:rsidRPr="001E52FE" w:rsidRDefault="009171D1" w:rsidP="00FC2F58">
      <w:pPr>
        <w:spacing w:line="480" w:lineRule="auto"/>
        <w:ind w:firstLine="720"/>
      </w:pPr>
      <w:r w:rsidRPr="001E52FE">
        <w:t xml:space="preserve">Expanding from ART’s assertion that certain advisor characteristics influence advice evaluation, we </w:t>
      </w:r>
      <w:r w:rsidR="00404DC0" w:rsidRPr="001E52FE">
        <w:t xml:space="preserve">examined the predictive role of </w:t>
      </w:r>
      <w:r w:rsidR="00E01559" w:rsidRPr="001E52FE">
        <w:t>partner</w:t>
      </w:r>
      <w:r w:rsidRPr="001E52FE">
        <w:t xml:space="preserve"> characteristics </w:t>
      </w:r>
      <w:r w:rsidR="00245899" w:rsidRPr="001E52FE">
        <w:t>and</w:t>
      </w:r>
      <w:r w:rsidRPr="001E52FE">
        <w:t xml:space="preserve"> three additional </w:t>
      </w:r>
      <w:r w:rsidR="00404DC0" w:rsidRPr="001E52FE">
        <w:t xml:space="preserve">relational assessments on advice quality and conversation satisfaction ratings. </w:t>
      </w:r>
      <w:r w:rsidRPr="001E52FE">
        <w:t>Importantly</w:t>
      </w:r>
      <w:r w:rsidR="004F049F" w:rsidRPr="001E52FE">
        <w:t xml:space="preserve">, we </w:t>
      </w:r>
      <w:r w:rsidRPr="001E52FE">
        <w:t xml:space="preserve">assessed these </w:t>
      </w:r>
      <w:r w:rsidR="004F049F" w:rsidRPr="001E52FE">
        <w:t xml:space="preserve">relational </w:t>
      </w:r>
      <w:r w:rsidRPr="001E52FE">
        <w:t xml:space="preserve">variables </w:t>
      </w:r>
      <w:r w:rsidR="004F049F" w:rsidRPr="001E52FE">
        <w:t xml:space="preserve">prior to </w:t>
      </w:r>
      <w:r w:rsidRPr="001E52FE">
        <w:t xml:space="preserve">the </w:t>
      </w:r>
      <w:r w:rsidR="004F049F" w:rsidRPr="001E52FE">
        <w:t xml:space="preserve">advice interactions to eliminate bias from retrospective recall. </w:t>
      </w:r>
      <w:r w:rsidR="00D7446B" w:rsidRPr="001E52FE">
        <w:t xml:space="preserve">Although we hypothesized that </w:t>
      </w:r>
      <w:r w:rsidR="00B104A1" w:rsidRPr="001E52FE">
        <w:t xml:space="preserve">relational assessments would have a uniformly positive impact on </w:t>
      </w:r>
      <w:r w:rsidR="005004EF" w:rsidRPr="001E52FE">
        <w:t xml:space="preserve">advice and conversation perceptions, this was not the case. </w:t>
      </w:r>
      <w:r w:rsidR="00496710" w:rsidRPr="001E52FE">
        <w:t xml:space="preserve">Instead, </w:t>
      </w:r>
      <w:r w:rsidR="00BA65F3" w:rsidRPr="001E52FE">
        <w:t>each relati</w:t>
      </w:r>
      <w:r w:rsidR="002C24B1" w:rsidRPr="001E52FE">
        <w:t>onal variable behaved uniquely</w:t>
      </w:r>
      <w:r w:rsidR="004F049F" w:rsidRPr="001E52FE">
        <w:t xml:space="preserve"> </w:t>
      </w:r>
      <w:r w:rsidR="00167EA2" w:rsidRPr="001E52FE">
        <w:t>and sometimes counter to predictions</w:t>
      </w:r>
      <w:r w:rsidR="00990993" w:rsidRPr="001E52FE">
        <w:t>.</w:t>
      </w:r>
      <w:r w:rsidR="002C24B1" w:rsidRPr="001E52FE">
        <w:t xml:space="preserve"> </w:t>
      </w:r>
    </w:p>
    <w:p w14:paraId="22EFA6F8" w14:textId="5DE6BB90" w:rsidR="004F50A0" w:rsidRPr="001E52FE" w:rsidRDefault="004F50A0" w:rsidP="00FC2F58">
      <w:pPr>
        <w:spacing w:line="480" w:lineRule="auto"/>
        <w:ind w:firstLine="720"/>
        <w:rPr>
          <w:b/>
        </w:rPr>
      </w:pPr>
      <w:r w:rsidRPr="001E52FE">
        <w:rPr>
          <w:b/>
        </w:rPr>
        <w:t xml:space="preserve">Partner characteristics. </w:t>
      </w:r>
      <w:r w:rsidR="00E01559" w:rsidRPr="001E52FE">
        <w:t>Consistent with past research on advisor characteristics (e.g., MacGeorge, Guntzviller</w:t>
      </w:r>
      <w:r w:rsidR="009B0400" w:rsidRPr="001E52FE">
        <w:t>,</w:t>
      </w:r>
      <w:r w:rsidR="009B0400" w:rsidRPr="001E52FE">
        <w:rPr>
          <w:rFonts w:eastAsia="Calibri"/>
        </w:rPr>
        <w:t xml:space="preserve"> Hanasono</w:t>
      </w:r>
      <w:r w:rsidR="00E01559" w:rsidRPr="001E52FE">
        <w:t xml:space="preserve"> et al., 2016), a</w:t>
      </w:r>
      <w:r w:rsidRPr="001E52FE">
        <w:t>dvisors and recipients reported on the extent to which they liked, trusted, and were similar to their friend</w:t>
      </w:r>
      <w:r w:rsidR="00E01559" w:rsidRPr="001E52FE">
        <w:t>s</w:t>
      </w:r>
      <w:r w:rsidRPr="001E52FE">
        <w:t>. Advisors and recipients did not differ in how partner characteristics ratings impacted the advice and conversation outcomes. No actor-effects were statistically significant: ratings</w:t>
      </w:r>
      <w:r w:rsidR="00CF791A">
        <w:t xml:space="preserve"> of a friend’s liking, trust, and</w:t>
      </w:r>
      <w:r w:rsidRPr="001E52FE">
        <w:t xml:space="preserve"> similarly did not impact that person’s advice quality or conversation satisfaction. This finding was surprising and counter to predictions, as </w:t>
      </w:r>
      <w:r w:rsidR="00E01559" w:rsidRPr="001E52FE">
        <w:t>prior</w:t>
      </w:r>
      <w:r w:rsidRPr="001E52FE">
        <w:t xml:space="preserve"> research </w:t>
      </w:r>
      <w:r w:rsidR="00E01559" w:rsidRPr="001E52FE">
        <w:t>indicates</w:t>
      </w:r>
      <w:r w:rsidRPr="001E52FE">
        <w:t xml:space="preserve"> that recipient ratings of advisor ch</w:t>
      </w:r>
      <w:r w:rsidR="00E01559" w:rsidRPr="001E52FE">
        <w:t xml:space="preserve">aracteristics </w:t>
      </w:r>
      <w:r w:rsidR="00E01559" w:rsidRPr="001E52FE">
        <w:lastRenderedPageBreak/>
        <w:t>positively impact</w:t>
      </w:r>
      <w:r w:rsidRPr="001E52FE">
        <w:t xml:space="preserve"> recipient evaluations of advice features </w:t>
      </w:r>
      <w:r w:rsidRPr="001E52FE">
        <w:rPr>
          <w:rFonts w:eastAsia="Calibri"/>
        </w:rPr>
        <w:t xml:space="preserve">(e.g., Feng &amp; MacGeorge, 2010; Van Swol, 2011). Previous studies have used retrospective recall, which may cause recipient-rated advisor characteristics to be more strongly associated with advice quality ratings than in immediate assessments of advice interactions (MacGeorge, Guntzviller, Hanasono et al., 2016). </w:t>
      </w:r>
      <w:r w:rsidRPr="001E52FE">
        <w:rPr>
          <w:rFonts w:eastAsia="Calibri" w:cs="Times New Roman"/>
        </w:rPr>
        <w:t xml:space="preserve">Moreover, ART posits that recipient assessments of advisor characteristics impact advice quality ratings predominantly through recipient evaluations of specific message features. The current study did not include those mediating variables. </w:t>
      </w:r>
      <w:r w:rsidRPr="001E52FE">
        <w:rPr>
          <w:rFonts w:eastAsia="Calibri"/>
        </w:rPr>
        <w:t xml:space="preserve">Additionally, past studies </w:t>
      </w:r>
      <w:r w:rsidRPr="001E52FE">
        <w:rPr>
          <w:rFonts w:eastAsia="Calibri"/>
          <w:i/>
        </w:rPr>
        <w:t xml:space="preserve">only </w:t>
      </w:r>
      <w:r w:rsidRPr="001E52FE">
        <w:rPr>
          <w:rFonts w:eastAsia="Calibri"/>
        </w:rPr>
        <w:t>examined partner characteristics, as they were not focused on relational assessments.</w:t>
      </w:r>
      <w:r w:rsidRPr="001E52FE">
        <w:rPr>
          <w:rFonts w:eastAsia="Calibri" w:cs="Times New Roman"/>
        </w:rPr>
        <w:t xml:space="preserve"> Given that advice is a form of social support, past supportive behavior between advisor and recipient may overshadow effects of individual characteristic perceptions on advice and conversation ratings. </w:t>
      </w:r>
    </w:p>
    <w:p w14:paraId="5EE5317D" w14:textId="0F9B76BB" w:rsidR="004F50A0" w:rsidRPr="001E52FE" w:rsidRDefault="004F50A0" w:rsidP="00FC2F58">
      <w:pPr>
        <w:spacing w:line="480" w:lineRule="auto"/>
      </w:pPr>
      <w:r w:rsidRPr="001E52FE">
        <w:rPr>
          <w:b/>
        </w:rPr>
        <w:tab/>
      </w:r>
      <w:r w:rsidRPr="001E52FE">
        <w:t xml:space="preserve">Higher ratings of a friend’s characteristics did </w:t>
      </w:r>
      <w:r w:rsidR="00C643FC">
        <w:t>influence</w:t>
      </w:r>
      <w:r w:rsidR="00C643FC" w:rsidRPr="001E52FE">
        <w:t xml:space="preserve"> </w:t>
      </w:r>
      <w:r w:rsidRPr="001E52FE">
        <w:t xml:space="preserve">partner advice quality, but in the opposite direction than expected. Rating a friend as more likeable, similar, and trustworthy </w:t>
      </w:r>
      <w:r w:rsidR="00E01559" w:rsidRPr="001E52FE">
        <w:t xml:space="preserve">was </w:t>
      </w:r>
      <w:r w:rsidRPr="001E52FE">
        <w:t xml:space="preserve">associated with the friend rating advice quality as worse, regardless of participant role (i.e., advisor or recipient). Moreover, this negative effect also decreased that person’s conversation satisfaction </w:t>
      </w:r>
      <w:r w:rsidR="00134880" w:rsidRPr="001E52FE">
        <w:t xml:space="preserve">indirectly, </w:t>
      </w:r>
      <w:r w:rsidRPr="001E52FE">
        <w:t xml:space="preserve">because it lowered their advice quality ratings. </w:t>
      </w:r>
      <w:r w:rsidRPr="001E52FE">
        <w:rPr>
          <w:rFonts w:eastAsia="Calibri" w:cs="Times New Roman"/>
        </w:rPr>
        <w:t xml:space="preserve">One explanation connects with the observation that “weak ties” are sometimes more useful than “strong ties” (Fingerman, 2009). </w:t>
      </w:r>
      <w:r w:rsidR="004609CE" w:rsidRPr="001E52FE">
        <w:rPr>
          <w:rFonts w:eastAsia="Calibri" w:cs="Times New Roman"/>
        </w:rPr>
        <w:t>F</w:t>
      </w:r>
      <w:r w:rsidRPr="001E52FE">
        <w:rPr>
          <w:rFonts w:eastAsia="Calibri" w:cs="Times New Roman"/>
        </w:rPr>
        <w:t xml:space="preserve">riends with high levels of similarity are likely to have overlapping knowledge and resources, and consequently advice within these relationships may be insufficiently novel to be useful. </w:t>
      </w:r>
      <w:r w:rsidR="004F3AD5" w:rsidRPr="001E52FE">
        <w:rPr>
          <w:rFonts w:eastAsia="Calibri" w:cs="Times New Roman"/>
        </w:rPr>
        <w:t xml:space="preserve">Moreover, </w:t>
      </w:r>
      <w:r w:rsidR="009E2451" w:rsidRPr="001E52FE">
        <w:rPr>
          <w:rFonts w:eastAsia="Calibri" w:cs="Times New Roman"/>
        </w:rPr>
        <w:t xml:space="preserve">Wright and Miller (2010) </w:t>
      </w:r>
      <w:r w:rsidR="003245A2" w:rsidRPr="001E52FE">
        <w:rPr>
          <w:rFonts w:eastAsia="Calibri" w:cs="Times New Roman"/>
        </w:rPr>
        <w:t xml:space="preserve">suggest </w:t>
      </w:r>
      <w:r w:rsidR="0095710B" w:rsidRPr="001E52FE">
        <w:rPr>
          <w:rFonts w:eastAsia="Calibri" w:cs="Times New Roman"/>
        </w:rPr>
        <w:t xml:space="preserve">weak-tie </w:t>
      </w:r>
      <w:r w:rsidR="0057518D" w:rsidRPr="001E52FE">
        <w:rPr>
          <w:rFonts w:eastAsia="Calibri" w:cs="Times New Roman"/>
        </w:rPr>
        <w:t xml:space="preserve">relationships </w:t>
      </w:r>
      <w:r w:rsidR="006628F2" w:rsidRPr="001E52FE">
        <w:rPr>
          <w:rFonts w:eastAsia="Calibri" w:cs="Times New Roman"/>
        </w:rPr>
        <w:t>can be sup</w:t>
      </w:r>
      <w:r w:rsidR="00D91A49" w:rsidRPr="001E52FE">
        <w:rPr>
          <w:rFonts w:eastAsia="Calibri" w:cs="Times New Roman"/>
        </w:rPr>
        <w:t xml:space="preserve">erior for support than strong-tie relationships as the type of similarity between </w:t>
      </w:r>
      <w:r w:rsidR="00000A26" w:rsidRPr="001E52FE">
        <w:rPr>
          <w:rFonts w:eastAsia="Calibri" w:cs="Times New Roman"/>
        </w:rPr>
        <w:t xml:space="preserve">provider and recipient </w:t>
      </w:r>
      <w:r w:rsidR="006313B5" w:rsidRPr="001E52FE">
        <w:rPr>
          <w:rFonts w:eastAsia="Calibri" w:cs="Times New Roman"/>
        </w:rPr>
        <w:t>may be based on the situation (rather than demographic or interpersonal similarity) and th</w:t>
      </w:r>
      <w:r w:rsidR="009225C8" w:rsidRPr="001E52FE">
        <w:rPr>
          <w:rFonts w:eastAsia="Calibri" w:cs="Times New Roman"/>
        </w:rPr>
        <w:t xml:space="preserve">e reduced emotional attachment of a weak-tie </w:t>
      </w:r>
      <w:r w:rsidR="006313B5" w:rsidRPr="001E52FE">
        <w:rPr>
          <w:rFonts w:eastAsia="Calibri" w:cs="Times New Roman"/>
        </w:rPr>
        <w:t xml:space="preserve">support provider </w:t>
      </w:r>
      <w:r w:rsidR="009225C8" w:rsidRPr="001E52FE">
        <w:rPr>
          <w:rFonts w:eastAsia="Calibri" w:cs="Times New Roman"/>
        </w:rPr>
        <w:t xml:space="preserve">allows </w:t>
      </w:r>
      <w:r w:rsidR="00235674" w:rsidRPr="001E52FE">
        <w:rPr>
          <w:rFonts w:eastAsia="Calibri" w:cs="Times New Roman"/>
        </w:rPr>
        <w:t>for</w:t>
      </w:r>
      <w:r w:rsidR="009225C8" w:rsidRPr="001E52FE">
        <w:rPr>
          <w:rFonts w:eastAsia="Calibri" w:cs="Times New Roman"/>
        </w:rPr>
        <w:t xml:space="preserve"> greater objectivity</w:t>
      </w:r>
      <w:r w:rsidR="00235674" w:rsidRPr="001E52FE">
        <w:rPr>
          <w:rFonts w:eastAsia="Calibri" w:cs="Times New Roman"/>
        </w:rPr>
        <w:t>.</w:t>
      </w:r>
      <w:r w:rsidR="009225C8" w:rsidRPr="001E52FE">
        <w:rPr>
          <w:rFonts w:eastAsia="Calibri" w:cs="Times New Roman"/>
        </w:rPr>
        <w:t xml:space="preserve"> </w:t>
      </w:r>
      <w:r w:rsidRPr="001E52FE">
        <w:rPr>
          <w:rFonts w:eastAsia="Calibri" w:cs="Times New Roman"/>
        </w:rPr>
        <w:t xml:space="preserve">A second explanation is that </w:t>
      </w:r>
      <w:r w:rsidR="00822EC5">
        <w:rPr>
          <w:rFonts w:eastAsia="Calibri" w:cs="Times New Roman"/>
        </w:rPr>
        <w:t>individuals</w:t>
      </w:r>
      <w:r w:rsidRPr="001E52FE">
        <w:rPr>
          <w:rFonts w:eastAsia="Calibri" w:cs="Times New Roman"/>
        </w:rPr>
        <w:t xml:space="preserve"> who like, trust, and feel more similar to their partners may feel </w:t>
      </w:r>
      <w:r w:rsidRPr="001E52FE">
        <w:rPr>
          <w:rFonts w:eastAsia="Calibri" w:cs="Times New Roman"/>
        </w:rPr>
        <w:lastRenderedPageBreak/>
        <w:t>entitled to give advice with less facework (such as unsoli</w:t>
      </w:r>
      <w:r w:rsidR="004F6760" w:rsidRPr="001E52FE">
        <w:rPr>
          <w:rFonts w:eastAsia="Calibri" w:cs="Times New Roman"/>
        </w:rPr>
        <w:t>cited advice; Feng &amp; Magen, 2016</w:t>
      </w:r>
      <w:r w:rsidR="00212DD0">
        <w:rPr>
          <w:rFonts w:eastAsia="Calibri" w:cs="Times New Roman"/>
        </w:rPr>
        <w:t>)</w:t>
      </w:r>
      <w:r w:rsidRPr="001E52FE">
        <w:rPr>
          <w:rFonts w:eastAsia="Calibri" w:cs="Times New Roman"/>
        </w:rPr>
        <w:t xml:space="preserve"> or to respond negatively when advice is not deemed useful (MacGeorge</w:t>
      </w:r>
      <w:r w:rsidR="00C451BB" w:rsidRPr="001E52FE">
        <w:rPr>
          <w:rFonts w:eastAsia="Calibri" w:cs="Times New Roman"/>
        </w:rPr>
        <w:t>, Guntzviller, Branch et al., 2016</w:t>
      </w:r>
      <w:r w:rsidRPr="001E52FE">
        <w:rPr>
          <w:rFonts w:eastAsia="Calibri" w:cs="Times New Roman"/>
        </w:rPr>
        <w:t>). Although relational closeness does tend to reduce perceptions of face threat (e.g., Zhang &amp; Stafford, 2008), both advisors and recipients may overestimate the extent to which their relationship grants them latitude to threaten face. Further research is needed to determine if this partner-effect is a consequence of objectively worse advice solutions or communication styles that negatively impact partner’s perceptions.</w:t>
      </w:r>
    </w:p>
    <w:p w14:paraId="19A8677F" w14:textId="1F41D2EA" w:rsidR="004F50A0" w:rsidRPr="001E52FE" w:rsidRDefault="004F50A0" w:rsidP="00FC2F58">
      <w:pPr>
        <w:spacing w:line="480" w:lineRule="auto"/>
        <w:ind w:firstLine="720"/>
        <w:rPr>
          <w:rFonts w:eastAsia="Calibri" w:cs="Times New Roman"/>
        </w:rPr>
      </w:pPr>
      <w:r w:rsidRPr="001E52FE">
        <w:rPr>
          <w:rFonts w:eastAsia="Calibri" w:cs="Times New Roman"/>
          <w:b/>
        </w:rPr>
        <w:t xml:space="preserve">Closeness. </w:t>
      </w:r>
      <w:r w:rsidRPr="001E52FE">
        <w:rPr>
          <w:rFonts w:eastAsia="Calibri" w:cs="Times New Roman"/>
        </w:rPr>
        <w:t xml:space="preserve">Closeness was the only relational assessment that did not have any statistically significant effects on the outcome variables. </w:t>
      </w:r>
      <w:r w:rsidR="00E01559" w:rsidRPr="001E52FE">
        <w:rPr>
          <w:rFonts w:eastAsia="Calibri" w:cs="Times New Roman"/>
        </w:rPr>
        <w:t>O</w:t>
      </w:r>
      <w:r w:rsidRPr="001E52FE">
        <w:rPr>
          <w:rFonts w:eastAsia="Calibri" w:cs="Times New Roman"/>
        </w:rPr>
        <w:t>ne effect was marginally significant: greater advisor closeness ratings predicted lower advisor conversation satisfaction. Interactions in close relationships can be sources of frustration (</w:t>
      </w:r>
      <w:r w:rsidRPr="001E52FE">
        <w:rPr>
          <w:rFonts w:cs="Times New Roman"/>
        </w:rPr>
        <w:t xml:space="preserve">Bradbury, </w:t>
      </w:r>
      <w:proofErr w:type="spellStart"/>
      <w:r w:rsidRPr="001E52FE">
        <w:rPr>
          <w:rFonts w:cs="Times New Roman"/>
        </w:rPr>
        <w:t>Fincham</w:t>
      </w:r>
      <w:proofErr w:type="spellEnd"/>
      <w:r w:rsidRPr="001E52FE">
        <w:rPr>
          <w:rFonts w:cs="Times New Roman"/>
        </w:rPr>
        <w:t>, &amp; Beach, 2000</w:t>
      </w:r>
      <w:r w:rsidRPr="001E52FE">
        <w:rPr>
          <w:rFonts w:eastAsia="Calibri" w:cs="Times New Roman"/>
        </w:rPr>
        <w:t xml:space="preserve">). </w:t>
      </w:r>
      <w:r w:rsidR="001F0A19" w:rsidRPr="001E52FE">
        <w:rPr>
          <w:rFonts w:eastAsia="Calibri" w:cs="Times New Roman"/>
        </w:rPr>
        <w:t>Advisors in close relationships may advise mor</w:t>
      </w:r>
      <w:r w:rsidR="004A2AA4" w:rsidRPr="001E52FE">
        <w:rPr>
          <w:rFonts w:eastAsia="Calibri" w:cs="Times New Roman"/>
        </w:rPr>
        <w:t>e frequently (Feng &amp; Magen, 2016</w:t>
      </w:r>
      <w:r w:rsidR="001F0A19" w:rsidRPr="001E52FE">
        <w:rPr>
          <w:rFonts w:eastAsia="Calibri" w:cs="Times New Roman"/>
        </w:rPr>
        <w:t>), and are probably more aware of recipients’ problems and the limitations of the support they can offer, contributing to a greater sense that supportive conversation is effortful or even ineffective. Close a</w:t>
      </w:r>
      <w:r w:rsidRPr="001E52FE">
        <w:rPr>
          <w:rFonts w:eastAsia="Calibri" w:cs="Times New Roman"/>
        </w:rPr>
        <w:t>dvisors could also be less satisfied with advice interactions</w:t>
      </w:r>
      <w:r w:rsidR="001F0A19" w:rsidRPr="001E52FE">
        <w:rPr>
          <w:rFonts w:eastAsia="Calibri" w:cs="Times New Roman"/>
        </w:rPr>
        <w:t xml:space="preserve"> because</w:t>
      </w:r>
      <w:r w:rsidRPr="001E52FE">
        <w:rPr>
          <w:rFonts w:eastAsia="Calibri" w:cs="Times New Roman"/>
        </w:rPr>
        <w:t xml:space="preserve">, over time, </w:t>
      </w:r>
      <w:r w:rsidR="001F0A19" w:rsidRPr="001E52FE">
        <w:rPr>
          <w:rFonts w:eastAsia="Calibri" w:cs="Times New Roman"/>
        </w:rPr>
        <w:t>they are able to ascertain that</w:t>
      </w:r>
      <w:r w:rsidRPr="001E52FE">
        <w:rPr>
          <w:rFonts w:eastAsia="Calibri" w:cs="Times New Roman"/>
        </w:rPr>
        <w:t xml:space="preserve"> the recipient typically disregards the </w:t>
      </w:r>
      <w:r w:rsidR="001F0A19" w:rsidRPr="001E52FE">
        <w:rPr>
          <w:rFonts w:eastAsia="Calibri" w:cs="Times New Roman"/>
        </w:rPr>
        <w:t>advice (Cheuk &amp; Rosen, 1992)</w:t>
      </w:r>
      <w:r w:rsidRPr="001E52FE">
        <w:rPr>
          <w:rFonts w:eastAsia="Calibri" w:cs="Times New Roman"/>
        </w:rPr>
        <w:t xml:space="preserve">. </w:t>
      </w:r>
    </w:p>
    <w:p w14:paraId="6C9739DE" w14:textId="624820B3" w:rsidR="004F50A0" w:rsidRPr="001E52FE" w:rsidRDefault="0008379E" w:rsidP="00FC2F58">
      <w:pPr>
        <w:spacing w:line="480" w:lineRule="auto"/>
        <w:rPr>
          <w:rFonts w:eastAsia="Calibri" w:cs="Times New Roman"/>
        </w:rPr>
      </w:pPr>
      <w:r w:rsidRPr="001E52FE">
        <w:tab/>
      </w:r>
      <w:r w:rsidR="003E7B90" w:rsidRPr="001E52FE">
        <w:rPr>
          <w:b/>
        </w:rPr>
        <w:t xml:space="preserve">Interdependence. </w:t>
      </w:r>
      <w:r w:rsidR="001F0A19" w:rsidRPr="001E52FE">
        <w:t xml:space="preserve">Although closeness and interdependence are closely related, </w:t>
      </w:r>
      <w:r w:rsidR="004C3961" w:rsidRPr="001E52FE">
        <w:t xml:space="preserve">the effect of interdependence was distinctive in this study. </w:t>
      </w:r>
      <w:r w:rsidR="002822A2">
        <w:t>W</w:t>
      </w:r>
      <w:r w:rsidR="000F17E7" w:rsidRPr="001E52FE">
        <w:t xml:space="preserve">hen advisors rated their relationship as more interdependent, recipients rated advice quality as lower. </w:t>
      </w:r>
      <w:r w:rsidR="009308C4" w:rsidRPr="001E52FE">
        <w:t xml:space="preserve">Moreover, </w:t>
      </w:r>
      <w:r w:rsidR="003C026A" w:rsidRPr="001E52FE">
        <w:t xml:space="preserve">this negative relationship between advisor interdependence and recipient advice quality </w:t>
      </w:r>
      <w:r w:rsidR="00B825FB" w:rsidRPr="001E52FE">
        <w:t>facilitated negative indirect effects on both advisor conversation satisfaction and recip</w:t>
      </w:r>
      <w:r w:rsidR="00F956A4" w:rsidRPr="001E52FE">
        <w:t xml:space="preserve">ient conversation satisfaction. </w:t>
      </w:r>
      <w:r w:rsidR="004C3961" w:rsidRPr="001E52FE">
        <w:rPr>
          <w:rFonts w:eastAsia="Calibri" w:cs="Times New Roman"/>
        </w:rPr>
        <w:t>When advisors’ and recipients’ lives are closely intertwined, a</w:t>
      </w:r>
      <w:r w:rsidR="0097597B" w:rsidRPr="001E52FE">
        <w:rPr>
          <w:rFonts w:eastAsia="Calibri" w:cs="Times New Roman"/>
        </w:rPr>
        <w:t xml:space="preserve">dvisors may feel particularly motivated to not only solve recipient problems, but </w:t>
      </w:r>
      <w:r w:rsidR="00B433D2" w:rsidRPr="001E52FE">
        <w:rPr>
          <w:rFonts w:eastAsia="Calibri" w:cs="Times New Roman"/>
        </w:rPr>
        <w:t xml:space="preserve">to </w:t>
      </w:r>
      <w:r w:rsidR="0097597B" w:rsidRPr="001E52FE">
        <w:rPr>
          <w:rFonts w:eastAsia="Calibri" w:cs="Times New Roman"/>
        </w:rPr>
        <w:t xml:space="preserve">encourage particular </w:t>
      </w:r>
      <w:r w:rsidR="00B433D2" w:rsidRPr="001E52FE">
        <w:rPr>
          <w:rFonts w:eastAsia="Calibri" w:cs="Times New Roman"/>
        </w:rPr>
        <w:t>solution</w:t>
      </w:r>
      <w:r w:rsidR="004C3961" w:rsidRPr="001E52FE">
        <w:rPr>
          <w:rFonts w:eastAsia="Calibri" w:cs="Times New Roman"/>
        </w:rPr>
        <w:t>s</w:t>
      </w:r>
      <w:r w:rsidR="00F813D6" w:rsidRPr="001E52FE">
        <w:rPr>
          <w:rFonts w:eastAsia="Calibri" w:cs="Times New Roman"/>
        </w:rPr>
        <w:t>,</w:t>
      </w:r>
      <w:r w:rsidR="0097597B" w:rsidRPr="001E52FE">
        <w:rPr>
          <w:rFonts w:eastAsia="Calibri" w:cs="Times New Roman"/>
        </w:rPr>
        <w:t xml:space="preserve"> as recipient problems and </w:t>
      </w:r>
      <w:r w:rsidR="0097597B" w:rsidRPr="001E52FE">
        <w:rPr>
          <w:rFonts w:eastAsia="Calibri" w:cs="Times New Roman"/>
        </w:rPr>
        <w:lastRenderedPageBreak/>
        <w:t>outcomes may directly impact the advisor</w:t>
      </w:r>
      <w:r w:rsidR="004C3961" w:rsidRPr="001E52FE">
        <w:rPr>
          <w:rFonts w:eastAsia="Calibri" w:cs="Times New Roman"/>
        </w:rPr>
        <w:t>’s life</w:t>
      </w:r>
      <w:r w:rsidR="0097597B" w:rsidRPr="001E52FE">
        <w:rPr>
          <w:rFonts w:eastAsia="Calibri" w:cs="Times New Roman"/>
        </w:rPr>
        <w:t xml:space="preserve">. </w:t>
      </w:r>
      <w:r w:rsidR="008D4D3A" w:rsidRPr="001E52FE">
        <w:rPr>
          <w:rFonts w:eastAsia="Calibri" w:cs="Times New Roman"/>
        </w:rPr>
        <w:t>For example, with academic problems (</w:t>
      </w:r>
      <w:r w:rsidR="00F8346A" w:rsidRPr="001E52FE">
        <w:rPr>
          <w:rFonts w:eastAsia="Calibri" w:cs="Times New Roman"/>
        </w:rPr>
        <w:t>a frequent problem</w:t>
      </w:r>
      <w:r w:rsidR="008D4D3A" w:rsidRPr="001E52FE">
        <w:rPr>
          <w:rFonts w:eastAsia="Calibri" w:cs="Times New Roman"/>
        </w:rPr>
        <w:t xml:space="preserve"> in the current dataset), </w:t>
      </w:r>
      <w:r w:rsidR="00212F5D" w:rsidRPr="001E52FE">
        <w:rPr>
          <w:rFonts w:eastAsia="Calibri" w:cs="Times New Roman"/>
        </w:rPr>
        <w:t xml:space="preserve">advising a friend to “study more in the evenings” may not </w:t>
      </w:r>
      <w:r w:rsidR="00EF43FE" w:rsidRPr="001E52FE">
        <w:rPr>
          <w:rFonts w:eastAsia="Calibri" w:cs="Times New Roman"/>
        </w:rPr>
        <w:t xml:space="preserve">only </w:t>
      </w:r>
      <w:r w:rsidR="00F52B3D" w:rsidRPr="001E52FE">
        <w:rPr>
          <w:rFonts w:eastAsia="Calibri" w:cs="Times New Roman"/>
        </w:rPr>
        <w:t>address</w:t>
      </w:r>
      <w:r w:rsidR="00EF43FE" w:rsidRPr="001E52FE">
        <w:rPr>
          <w:rFonts w:eastAsia="Calibri" w:cs="Times New Roman"/>
        </w:rPr>
        <w:t xml:space="preserve"> </w:t>
      </w:r>
      <w:r w:rsidR="00F52B3D" w:rsidRPr="001E52FE">
        <w:rPr>
          <w:rFonts w:eastAsia="Calibri" w:cs="Times New Roman"/>
        </w:rPr>
        <w:t>the recipient’s problem (</w:t>
      </w:r>
      <w:r w:rsidR="00872133" w:rsidRPr="001E52FE">
        <w:rPr>
          <w:rFonts w:eastAsia="Calibri" w:cs="Times New Roman"/>
        </w:rPr>
        <w:t>“</w:t>
      </w:r>
      <w:r w:rsidR="00F52B3D" w:rsidRPr="001E52FE">
        <w:rPr>
          <w:rFonts w:eastAsia="Calibri" w:cs="Times New Roman"/>
        </w:rPr>
        <w:t>I’m not doing well in my classes</w:t>
      </w:r>
      <w:r w:rsidR="00872133" w:rsidRPr="001E52FE">
        <w:rPr>
          <w:rFonts w:eastAsia="Calibri" w:cs="Times New Roman"/>
        </w:rPr>
        <w:t>”</w:t>
      </w:r>
      <w:r w:rsidR="00F52B3D" w:rsidRPr="001E52FE">
        <w:rPr>
          <w:rFonts w:eastAsia="Calibri" w:cs="Times New Roman"/>
        </w:rPr>
        <w:t>) but may also be self-serving for the advisor</w:t>
      </w:r>
      <w:r w:rsidR="00473C49" w:rsidRPr="001E52FE">
        <w:rPr>
          <w:rFonts w:eastAsia="Calibri" w:cs="Times New Roman"/>
        </w:rPr>
        <w:t>:</w:t>
      </w:r>
      <w:r w:rsidR="00F52B3D" w:rsidRPr="001E52FE">
        <w:rPr>
          <w:rFonts w:eastAsia="Calibri" w:cs="Times New Roman"/>
        </w:rPr>
        <w:t xml:space="preserve"> the advisor can also study </w:t>
      </w:r>
      <w:r w:rsidR="00473C49" w:rsidRPr="001E52FE">
        <w:rPr>
          <w:rFonts w:eastAsia="Calibri" w:cs="Times New Roman"/>
        </w:rPr>
        <w:t xml:space="preserve">more </w:t>
      </w:r>
      <w:r w:rsidR="00F52B3D" w:rsidRPr="001E52FE">
        <w:rPr>
          <w:rFonts w:eastAsia="Calibri" w:cs="Times New Roman"/>
        </w:rPr>
        <w:t>if the recipient is not encouragin</w:t>
      </w:r>
      <w:r w:rsidR="001E6019" w:rsidRPr="001E52FE">
        <w:rPr>
          <w:rFonts w:eastAsia="Calibri" w:cs="Times New Roman"/>
        </w:rPr>
        <w:t>g the advisor to socialize</w:t>
      </w:r>
      <w:r w:rsidR="00F52B3D" w:rsidRPr="001E52FE">
        <w:rPr>
          <w:rFonts w:eastAsia="Calibri" w:cs="Times New Roman"/>
        </w:rPr>
        <w:t xml:space="preserve">. </w:t>
      </w:r>
      <w:r w:rsidR="004D2717" w:rsidRPr="001E52FE">
        <w:rPr>
          <w:rFonts w:eastAsia="Calibri" w:cs="Times New Roman"/>
        </w:rPr>
        <w:t xml:space="preserve">Thus, advisors who rate the advisor-recipient relationship as interdependent </w:t>
      </w:r>
      <w:r w:rsidR="00EB0E7A" w:rsidRPr="001E52FE">
        <w:rPr>
          <w:rFonts w:eastAsia="Calibri" w:cs="Times New Roman"/>
        </w:rPr>
        <w:t xml:space="preserve">may feel more entitled to give advice, advocate strongly for a particular solution, or repeat advice previously given, even </w:t>
      </w:r>
      <w:r w:rsidR="004C3961" w:rsidRPr="001E52FE">
        <w:rPr>
          <w:rFonts w:eastAsia="Calibri" w:cs="Times New Roman"/>
        </w:rPr>
        <w:t>if</w:t>
      </w:r>
      <w:r w:rsidR="002627D3">
        <w:rPr>
          <w:rFonts w:eastAsia="Calibri" w:cs="Times New Roman"/>
        </w:rPr>
        <w:t xml:space="preserve"> recipients did not seek advice</w:t>
      </w:r>
      <w:r w:rsidR="004C3961" w:rsidRPr="001E52FE">
        <w:rPr>
          <w:rFonts w:eastAsia="Calibri" w:cs="Times New Roman"/>
        </w:rPr>
        <w:t xml:space="preserve"> or display</w:t>
      </w:r>
      <w:r w:rsidR="002627D3">
        <w:rPr>
          <w:rFonts w:eastAsia="Calibri" w:cs="Times New Roman"/>
        </w:rPr>
        <w:t>ed</w:t>
      </w:r>
      <w:r w:rsidR="004C3961" w:rsidRPr="001E52FE">
        <w:rPr>
          <w:rFonts w:eastAsia="Calibri" w:cs="Times New Roman"/>
        </w:rPr>
        <w:t xml:space="preserve"> resistance</w:t>
      </w:r>
      <w:r w:rsidR="00EB0E7A" w:rsidRPr="001E52FE">
        <w:rPr>
          <w:rFonts w:eastAsia="Calibri" w:cs="Times New Roman"/>
        </w:rPr>
        <w:t xml:space="preserve"> (Feng &amp; Magen, 2015; MacGeorge </w:t>
      </w:r>
      <w:r w:rsidR="009764B2" w:rsidRPr="001E52FE">
        <w:rPr>
          <w:rFonts w:eastAsia="Calibri" w:cs="Times New Roman"/>
        </w:rPr>
        <w:t>Guntzviller, Branch et al., 2016</w:t>
      </w:r>
      <w:r w:rsidR="00EB0E7A" w:rsidRPr="001E52FE">
        <w:rPr>
          <w:rFonts w:eastAsia="Calibri" w:cs="Times New Roman"/>
        </w:rPr>
        <w:t>).</w:t>
      </w:r>
      <w:r w:rsidR="001B5363" w:rsidRPr="001E52FE">
        <w:rPr>
          <w:rFonts w:eastAsia="Calibri" w:cs="Times New Roman"/>
        </w:rPr>
        <w:t xml:space="preserve"> Regardless of whether advisor motives are self-</w:t>
      </w:r>
      <w:r w:rsidR="004C3961" w:rsidRPr="001E52FE">
        <w:rPr>
          <w:rFonts w:eastAsia="Calibri" w:cs="Times New Roman"/>
        </w:rPr>
        <w:t xml:space="preserve">focused </w:t>
      </w:r>
      <w:r w:rsidR="001B5363" w:rsidRPr="001E52FE">
        <w:rPr>
          <w:rFonts w:eastAsia="Calibri" w:cs="Times New Roman"/>
        </w:rPr>
        <w:t xml:space="preserve">or </w:t>
      </w:r>
      <w:r w:rsidR="004C3961" w:rsidRPr="001E52FE">
        <w:rPr>
          <w:rFonts w:eastAsia="Calibri" w:cs="Times New Roman"/>
        </w:rPr>
        <w:t xml:space="preserve">more </w:t>
      </w:r>
      <w:r w:rsidR="00C221D7" w:rsidRPr="001E52FE">
        <w:rPr>
          <w:rFonts w:eastAsia="Calibri" w:cs="Times New Roman"/>
        </w:rPr>
        <w:t>altruistic</w:t>
      </w:r>
      <w:r w:rsidR="001B5363" w:rsidRPr="001E52FE">
        <w:rPr>
          <w:rFonts w:eastAsia="Calibri" w:cs="Times New Roman"/>
        </w:rPr>
        <w:t>, these behaviors likely cause the recipient to rate the advice as lower in quality</w:t>
      </w:r>
      <w:r w:rsidR="002932AB" w:rsidRPr="001E52FE">
        <w:rPr>
          <w:rFonts w:eastAsia="Calibri" w:cs="Times New Roman"/>
        </w:rPr>
        <w:t xml:space="preserve"> (see </w:t>
      </w:r>
      <w:r w:rsidR="004C3961" w:rsidRPr="001E52FE">
        <w:rPr>
          <w:rFonts w:eastAsia="Calibri" w:cs="Times New Roman"/>
        </w:rPr>
        <w:t>Guntzviller &amp; MacGeorge, 2013; MacGeorge</w:t>
      </w:r>
      <w:r w:rsidR="00F31BAD" w:rsidRPr="001E52FE">
        <w:rPr>
          <w:rFonts w:eastAsia="Calibri" w:cs="Times New Roman"/>
        </w:rPr>
        <w:t>, Guntzviller, Branch et al., 2016</w:t>
      </w:r>
      <w:r w:rsidR="002932AB" w:rsidRPr="001E52FE">
        <w:rPr>
          <w:rFonts w:eastAsia="Calibri" w:cs="Times New Roman"/>
        </w:rPr>
        <w:t>)</w:t>
      </w:r>
      <w:r w:rsidR="00771504" w:rsidRPr="001E52FE">
        <w:rPr>
          <w:rFonts w:eastAsia="Calibri" w:cs="Times New Roman"/>
        </w:rPr>
        <w:t>.</w:t>
      </w:r>
      <w:r w:rsidR="00A40601" w:rsidRPr="001E52FE">
        <w:rPr>
          <w:rFonts w:eastAsia="Calibri" w:cs="Times New Roman"/>
        </w:rPr>
        <w:t xml:space="preserve"> </w:t>
      </w:r>
    </w:p>
    <w:p w14:paraId="0093E579" w14:textId="1D16935F" w:rsidR="004F50A0" w:rsidRPr="001E52FE" w:rsidRDefault="004F50A0" w:rsidP="00FC2F58">
      <w:pPr>
        <w:spacing w:line="480" w:lineRule="auto"/>
        <w:ind w:firstLine="720"/>
      </w:pPr>
      <w:r w:rsidRPr="001E52FE">
        <w:rPr>
          <w:b/>
        </w:rPr>
        <w:t xml:space="preserve">Past support. </w:t>
      </w:r>
      <w:r w:rsidR="00675AE6" w:rsidRPr="001E52FE">
        <w:t xml:space="preserve">Of the relational </w:t>
      </w:r>
      <w:r w:rsidR="001444FF" w:rsidRPr="001E52FE">
        <w:t>assessments</w:t>
      </w:r>
      <w:r w:rsidR="00675AE6" w:rsidRPr="001E52FE">
        <w:t xml:space="preserve"> examined in this study, past support </w:t>
      </w:r>
      <w:r w:rsidR="0009025B" w:rsidRPr="001E52FE">
        <w:t>best aligned with predictions</w:t>
      </w:r>
      <w:r w:rsidR="00675AE6" w:rsidRPr="001E52FE">
        <w:t xml:space="preserve"> </w:t>
      </w:r>
      <w:r w:rsidR="0009025B" w:rsidRPr="001E52FE">
        <w:t>for both</w:t>
      </w:r>
      <w:r w:rsidR="00675AE6" w:rsidRPr="001E52FE">
        <w:t xml:space="preserve"> advisors and recipients. </w:t>
      </w:r>
      <w:r w:rsidRPr="001E52FE">
        <w:rPr>
          <w:rFonts w:eastAsia="Calibri"/>
        </w:rPr>
        <w:t xml:space="preserve">All past support </w:t>
      </w:r>
      <w:r w:rsidRPr="001E52FE">
        <w:t xml:space="preserve">effects were indistinguishable between </w:t>
      </w:r>
      <w:r w:rsidR="00675AE6" w:rsidRPr="001E52FE">
        <w:t>roles</w:t>
      </w:r>
      <w:r w:rsidRPr="001E52FE">
        <w:t>, were actor-effects, and had a positive impact on the outcomes</w:t>
      </w:r>
      <w:r w:rsidR="00684047" w:rsidRPr="001E52FE">
        <w:t>.</w:t>
      </w:r>
      <w:r w:rsidRPr="001E52FE">
        <w:t xml:space="preserve"> Participants who said their </w:t>
      </w:r>
      <w:r w:rsidR="000266A5">
        <w:t>partners</w:t>
      </w:r>
      <w:r w:rsidRPr="001E52FE">
        <w:t xml:space="preserve"> gave them more support in the past rated the current advice as higher quality and were more satisfied with the conversation. </w:t>
      </w:r>
      <w:r w:rsidR="000315C6" w:rsidRPr="001E52FE">
        <w:t xml:space="preserve">Past support increased </w:t>
      </w:r>
      <w:r w:rsidR="00684047" w:rsidRPr="001E52FE">
        <w:t>conversational satisfaction direct</w:t>
      </w:r>
      <w:r w:rsidR="008E1A19" w:rsidRPr="001E52FE">
        <w:t>ly</w:t>
      </w:r>
      <w:r w:rsidR="00684047" w:rsidRPr="001E52FE">
        <w:t xml:space="preserve"> and indirect</w:t>
      </w:r>
      <w:r w:rsidR="008E1A19" w:rsidRPr="001E52FE">
        <w:t>ly</w:t>
      </w:r>
      <w:r w:rsidR="00684047" w:rsidRPr="001E52FE">
        <w:t xml:space="preserve"> through</w:t>
      </w:r>
      <w:r w:rsidR="00504E3A" w:rsidRPr="001E52FE">
        <w:t xml:space="preserve"> </w:t>
      </w:r>
      <w:r w:rsidR="00684047" w:rsidRPr="001E52FE">
        <w:t xml:space="preserve">advice quality. </w:t>
      </w:r>
      <w:r w:rsidRPr="001E52FE">
        <w:rPr>
          <w:rFonts w:eastAsia="Calibri" w:cs="Times New Roman"/>
        </w:rPr>
        <w:t xml:space="preserve">These findings indicate past received support facilitates positive feelings about subsequent </w:t>
      </w:r>
      <w:r w:rsidR="00684047" w:rsidRPr="001E52FE">
        <w:rPr>
          <w:rFonts w:eastAsia="Calibri" w:cs="Times New Roman"/>
        </w:rPr>
        <w:t xml:space="preserve">advice and </w:t>
      </w:r>
      <w:r w:rsidRPr="001E52FE">
        <w:rPr>
          <w:rFonts w:eastAsia="Calibri" w:cs="Times New Roman"/>
        </w:rPr>
        <w:t>supportive conversation</w:t>
      </w:r>
      <w:r w:rsidRPr="001E52FE">
        <w:t xml:space="preserve">, regardless of whether the individual is the support provider or recipient. </w:t>
      </w:r>
      <w:r w:rsidRPr="001E52FE">
        <w:rPr>
          <w:rFonts w:eastAsia="Calibri"/>
        </w:rPr>
        <w:t>These findings align with our extensions of ART predictions that favorable relational assessments facilitate more favorable ratings of advice and the conversation (</w:t>
      </w:r>
      <w:r w:rsidRPr="001E52FE">
        <w:t xml:space="preserve">MacGeorge, Guntzviller, Hanasono et al., 2016). </w:t>
      </w:r>
    </w:p>
    <w:p w14:paraId="44D7151E" w14:textId="77777777" w:rsidR="00C86877" w:rsidRPr="001E52FE" w:rsidRDefault="00850D74" w:rsidP="00FC2F58">
      <w:pPr>
        <w:spacing w:line="480" w:lineRule="auto"/>
        <w:rPr>
          <w:rFonts w:cs="Times New Roman"/>
          <w:b/>
        </w:rPr>
      </w:pPr>
      <w:r w:rsidRPr="001E52FE">
        <w:rPr>
          <w:rFonts w:cs="Times New Roman"/>
          <w:b/>
        </w:rPr>
        <w:t xml:space="preserve">Theoretical </w:t>
      </w:r>
      <w:r w:rsidR="007E7CC6" w:rsidRPr="001E52FE">
        <w:rPr>
          <w:rFonts w:cs="Times New Roman"/>
          <w:b/>
        </w:rPr>
        <w:t>Implications and Directions</w:t>
      </w:r>
    </w:p>
    <w:p w14:paraId="0A5208A7" w14:textId="231BBD9C" w:rsidR="007778DA" w:rsidRPr="001E52FE" w:rsidRDefault="004E0872" w:rsidP="00FC2F58">
      <w:pPr>
        <w:spacing w:line="480" w:lineRule="auto"/>
        <w:ind w:firstLine="720"/>
        <w:rPr>
          <w:rFonts w:cs="Times New Roman"/>
        </w:rPr>
      </w:pPr>
      <w:r>
        <w:lastRenderedPageBreak/>
        <w:t>T</w:t>
      </w:r>
      <w:r w:rsidR="00684047" w:rsidRPr="001E52FE">
        <w:t>hese findings support extensions to ART</w:t>
      </w:r>
      <w:r w:rsidR="003E3A62" w:rsidRPr="001E52FE">
        <w:t xml:space="preserve">, and more generally, </w:t>
      </w:r>
      <w:r w:rsidR="009C07FB" w:rsidRPr="001E52FE">
        <w:t>urge scholars toward a more interactional and relational mode of</w:t>
      </w:r>
      <w:r w:rsidR="003E3A62" w:rsidRPr="001E52FE">
        <w:t xml:space="preserve"> thinking about advice </w:t>
      </w:r>
      <w:r w:rsidR="00264B9D" w:rsidRPr="001E52FE">
        <w:t xml:space="preserve">and supportive </w:t>
      </w:r>
      <w:r w:rsidR="003E3A62" w:rsidRPr="001E52FE">
        <w:t>interactions</w:t>
      </w:r>
      <w:r w:rsidR="009C07FB" w:rsidRPr="001E52FE">
        <w:t xml:space="preserve"> (see also </w:t>
      </w:r>
      <w:r w:rsidR="007E4A2F" w:rsidRPr="001E52FE">
        <w:t xml:space="preserve">Goldsmith, 2004; </w:t>
      </w:r>
      <w:r w:rsidR="009C07FB" w:rsidRPr="001E52FE">
        <w:t>Priem &amp; Solomon, 2015)</w:t>
      </w:r>
      <w:r w:rsidR="00684047" w:rsidRPr="001E52FE">
        <w:t xml:space="preserve">. </w:t>
      </w:r>
      <w:r w:rsidR="00264B9D" w:rsidRPr="001E52FE">
        <w:t>Prior</w:t>
      </w:r>
      <w:r w:rsidR="003E3A62" w:rsidRPr="001E52FE">
        <w:t xml:space="preserve"> focus on advisor characteristics (Bonaccio &amp; Dalal, 2006; MacGeorge et al., 2016) </w:t>
      </w:r>
      <w:r w:rsidR="00264B9D" w:rsidRPr="001E52FE">
        <w:t xml:space="preserve">now </w:t>
      </w:r>
      <w:r w:rsidR="003E3A62" w:rsidRPr="001E52FE">
        <w:t>appears too narrow for understanding how advisors and recipients interact, since a broader range of relational assessments contribute to the prediction of advice quality and conversational satisfaction</w:t>
      </w:r>
      <w:r w:rsidR="007778DA" w:rsidRPr="001E52FE">
        <w:t xml:space="preserve"> for both recipients and ad</w:t>
      </w:r>
      <w:r w:rsidR="00264B9D" w:rsidRPr="001E52FE">
        <w:t>v</w:t>
      </w:r>
      <w:r w:rsidR="007778DA" w:rsidRPr="001E52FE">
        <w:t>i</w:t>
      </w:r>
      <w:r w:rsidR="00264B9D" w:rsidRPr="001E52FE">
        <w:t>sors</w:t>
      </w:r>
      <w:r w:rsidR="003E3A62" w:rsidRPr="001E52FE">
        <w:t xml:space="preserve">. </w:t>
      </w:r>
      <w:r w:rsidR="007778DA" w:rsidRPr="001E52FE">
        <w:rPr>
          <w:rFonts w:cs="Times New Roman"/>
        </w:rPr>
        <w:t xml:space="preserve">Expanded tests on relational qualities could include uncertainty and turbulence (Solomon, Knobloch, Theiss, &amp; McLaren, </w:t>
      </w:r>
      <w:r w:rsidR="009B7799" w:rsidRPr="001E52FE">
        <w:rPr>
          <w:rFonts w:cs="Times New Roman"/>
        </w:rPr>
        <w:t>2016</w:t>
      </w:r>
      <w:r w:rsidR="007778DA" w:rsidRPr="001E52FE">
        <w:rPr>
          <w:rFonts w:cs="Times New Roman"/>
        </w:rPr>
        <w:t>), satisfaction (Bradbury et al., 2000), and power discrepancy (Knudson-Martin, 2013).</w:t>
      </w:r>
      <w:r w:rsidR="007778DA" w:rsidRPr="001E52FE">
        <w:t xml:space="preserve"> Identifying past </w:t>
      </w:r>
      <w:r w:rsidR="00264B9D" w:rsidRPr="001E52FE">
        <w:t xml:space="preserve">support </w:t>
      </w:r>
      <w:r w:rsidR="007778DA" w:rsidRPr="001E52FE">
        <w:t>as</w:t>
      </w:r>
      <w:r w:rsidR="00264B9D" w:rsidRPr="001E52FE">
        <w:t xml:space="preserve"> </w:t>
      </w:r>
      <w:r w:rsidR="007778DA" w:rsidRPr="001E52FE">
        <w:t xml:space="preserve">a </w:t>
      </w:r>
      <w:r w:rsidR="00264B9D" w:rsidRPr="001E52FE">
        <w:t>particularly strong influence on the evaluation of present supportive behavior</w:t>
      </w:r>
      <w:r w:rsidR="007778DA" w:rsidRPr="001E52FE">
        <w:t xml:space="preserve"> emphasizes</w:t>
      </w:r>
      <w:r w:rsidR="00264B9D" w:rsidRPr="001E52FE">
        <w:t xml:space="preserve"> that advice interactions between partners in intimate relationships cannot be divorced from the longer history of those relationships</w:t>
      </w:r>
      <w:r w:rsidR="008977EC" w:rsidRPr="001E52FE">
        <w:t xml:space="preserve"> (see Goldsmith, 2004). </w:t>
      </w:r>
      <w:r w:rsidR="007778DA" w:rsidRPr="001E52FE">
        <w:rPr>
          <w:rFonts w:cs="Times New Roman"/>
        </w:rPr>
        <w:t xml:space="preserve">Future research could encompass how advisors’ and recipients’ behavior during </w:t>
      </w:r>
      <w:r w:rsidR="00E94309" w:rsidRPr="001E52FE">
        <w:rPr>
          <w:rFonts w:cs="Times New Roman"/>
        </w:rPr>
        <w:t xml:space="preserve">an </w:t>
      </w:r>
      <w:r w:rsidR="007778DA" w:rsidRPr="001E52FE">
        <w:rPr>
          <w:rFonts w:cs="Times New Roman"/>
        </w:rPr>
        <w:t>interaction and across time influence their outcomes</w:t>
      </w:r>
      <w:r w:rsidR="00E94309" w:rsidRPr="001E52FE">
        <w:rPr>
          <w:rFonts w:cs="Times New Roman"/>
        </w:rPr>
        <w:t xml:space="preserve">, including contributing to </w:t>
      </w:r>
      <w:r w:rsidR="007778DA" w:rsidRPr="001E52FE">
        <w:rPr>
          <w:rFonts w:cs="Times New Roman"/>
        </w:rPr>
        <w:t xml:space="preserve">perceptions of the advisor-recipient relationship. </w:t>
      </w:r>
      <w:r w:rsidR="00FB4BE2" w:rsidRPr="001E52FE">
        <w:rPr>
          <w:rFonts w:cs="Times New Roman"/>
        </w:rPr>
        <w:t>A</w:t>
      </w:r>
      <w:r w:rsidR="007778DA" w:rsidRPr="001E52FE">
        <w:rPr>
          <w:rFonts w:cs="Times New Roman"/>
        </w:rPr>
        <w:t>dvice conversations likely impact subsequent assessments of received support quality and the advisor-recipient relationship (</w:t>
      </w:r>
      <w:r w:rsidR="008C1DD9" w:rsidRPr="001E52FE">
        <w:rPr>
          <w:rFonts w:cs="Times New Roman"/>
          <w:color w:val="000000"/>
          <w:szCs w:val="24"/>
        </w:rPr>
        <w:t>Afif</w:t>
      </w:r>
      <w:r w:rsidR="008C1DD9" w:rsidRPr="001E52FE">
        <w:rPr>
          <w:rFonts w:cs="Times New Roman"/>
          <w:szCs w:val="24"/>
        </w:rPr>
        <w:t>i, Shahnazi, Coveleski, Davis, &amp; Merrill</w:t>
      </w:r>
      <w:r w:rsidR="00AC6C17" w:rsidRPr="001E52FE">
        <w:rPr>
          <w:rFonts w:cs="Times New Roman"/>
          <w:szCs w:val="24"/>
        </w:rPr>
        <w:t xml:space="preserve">, </w:t>
      </w:r>
      <w:r w:rsidR="000A12BC" w:rsidRPr="001E52FE">
        <w:rPr>
          <w:rFonts w:cs="Times New Roman"/>
          <w:szCs w:val="24"/>
        </w:rPr>
        <w:t>2017</w:t>
      </w:r>
      <w:r w:rsidR="007778DA" w:rsidRPr="001E52FE">
        <w:rPr>
          <w:rFonts w:cs="Times New Roman"/>
        </w:rPr>
        <w:t xml:space="preserve">). Moreover, stressors are </w:t>
      </w:r>
      <w:r w:rsidR="00F70BBC" w:rsidRPr="001E52FE">
        <w:rPr>
          <w:rFonts w:cs="Times New Roman"/>
        </w:rPr>
        <w:t xml:space="preserve">often </w:t>
      </w:r>
      <w:r w:rsidR="007778DA" w:rsidRPr="001E52FE">
        <w:rPr>
          <w:rFonts w:cs="Times New Roman"/>
        </w:rPr>
        <w:t>discussed multiple times in close relationships, and advice and support related to an ongoing stressor can extend over multiple conversations (</w:t>
      </w:r>
      <w:r w:rsidR="000A12BC" w:rsidRPr="001E52FE">
        <w:rPr>
          <w:rFonts w:cs="Times New Roman"/>
        </w:rPr>
        <w:t>Afifi et al., 2017</w:t>
      </w:r>
      <w:r w:rsidR="008C1DD9" w:rsidRPr="001E52FE">
        <w:rPr>
          <w:rFonts w:cs="Times New Roman"/>
        </w:rPr>
        <w:t xml:space="preserve">; </w:t>
      </w:r>
      <w:r w:rsidR="007778DA" w:rsidRPr="001E52FE">
        <w:rPr>
          <w:rFonts w:cs="Times New Roman"/>
        </w:rPr>
        <w:t>MacGeorge, Feng</w:t>
      </w:r>
      <w:r w:rsidR="007B09A0" w:rsidRPr="001E52FE">
        <w:rPr>
          <w:rFonts w:cs="Times New Roman"/>
        </w:rPr>
        <w:t xml:space="preserve"> et al.</w:t>
      </w:r>
      <w:r w:rsidR="007778DA" w:rsidRPr="001E52FE">
        <w:rPr>
          <w:rFonts w:cs="Times New Roman"/>
        </w:rPr>
        <w:t xml:space="preserve">, 2016). Previous advice conversations about </w:t>
      </w:r>
      <w:r w:rsidR="00FB4BE2" w:rsidRPr="001E52FE">
        <w:rPr>
          <w:rFonts w:cs="Times New Roman"/>
        </w:rPr>
        <w:t>a</w:t>
      </w:r>
      <w:r w:rsidR="007778DA" w:rsidRPr="001E52FE">
        <w:rPr>
          <w:rFonts w:cs="Times New Roman"/>
        </w:rPr>
        <w:t xml:space="preserve"> stressor likely contextualize </w:t>
      </w:r>
      <w:r w:rsidR="00F70BBC" w:rsidRPr="001E52FE">
        <w:rPr>
          <w:rFonts w:cs="Times New Roman"/>
        </w:rPr>
        <w:t>future</w:t>
      </w:r>
      <w:r w:rsidR="007778DA" w:rsidRPr="001E52FE">
        <w:rPr>
          <w:rFonts w:cs="Times New Roman"/>
        </w:rPr>
        <w:t xml:space="preserve"> advice quality ratings and conversation satisfaction. </w:t>
      </w:r>
      <w:r w:rsidR="00F70BBC" w:rsidRPr="001E52FE">
        <w:rPr>
          <w:rFonts w:cs="Times New Roman"/>
        </w:rPr>
        <w:t xml:space="preserve">Longitudinal research capturing support interactions is needed to document </w:t>
      </w:r>
      <w:r w:rsidR="002E01D5" w:rsidRPr="001E52FE">
        <w:rPr>
          <w:rFonts w:cs="Times New Roman"/>
        </w:rPr>
        <w:t xml:space="preserve">how advice unfolds over multiple interactions and </w:t>
      </w:r>
      <w:r w:rsidR="00F70BBC" w:rsidRPr="001E52FE">
        <w:rPr>
          <w:rFonts w:cs="Times New Roman"/>
        </w:rPr>
        <w:t xml:space="preserve">the causal impact of </w:t>
      </w:r>
      <w:r w:rsidR="00F1257E" w:rsidRPr="001E52FE">
        <w:rPr>
          <w:rFonts w:cs="Times New Roman"/>
        </w:rPr>
        <w:t xml:space="preserve">advice </w:t>
      </w:r>
      <w:r w:rsidR="00F70BBC" w:rsidRPr="001E52FE">
        <w:rPr>
          <w:rFonts w:cs="Times New Roman"/>
        </w:rPr>
        <w:t>conversation</w:t>
      </w:r>
      <w:r w:rsidR="00B61F51" w:rsidRPr="001E52FE">
        <w:rPr>
          <w:rFonts w:cs="Times New Roman"/>
        </w:rPr>
        <w:t>s</w:t>
      </w:r>
      <w:r w:rsidR="00F70BBC" w:rsidRPr="001E52FE">
        <w:rPr>
          <w:rFonts w:cs="Times New Roman"/>
        </w:rPr>
        <w:t xml:space="preserve"> on relationships</w:t>
      </w:r>
      <w:r w:rsidR="00B61F51" w:rsidRPr="001E52FE">
        <w:rPr>
          <w:rFonts w:cs="Times New Roman"/>
        </w:rPr>
        <w:t xml:space="preserve"> over time</w:t>
      </w:r>
      <w:r w:rsidR="00F70BBC" w:rsidRPr="001E52FE">
        <w:rPr>
          <w:rFonts w:cs="Times New Roman"/>
        </w:rPr>
        <w:t xml:space="preserve">. </w:t>
      </w:r>
    </w:p>
    <w:p w14:paraId="0822AB10" w14:textId="187C86F0" w:rsidR="00354FC9" w:rsidRPr="001E52FE" w:rsidRDefault="00264B9D" w:rsidP="00FC2F58">
      <w:pPr>
        <w:spacing w:line="480" w:lineRule="auto"/>
        <w:ind w:firstLine="720"/>
        <w:rPr>
          <w:rFonts w:cs="Times New Roman"/>
        </w:rPr>
      </w:pPr>
      <w:r w:rsidRPr="001E52FE">
        <w:lastRenderedPageBreak/>
        <w:t xml:space="preserve">Further, </w:t>
      </w:r>
      <w:r w:rsidR="008977EC" w:rsidRPr="001E52FE">
        <w:t xml:space="preserve">our findings emphasize </w:t>
      </w:r>
      <w:r w:rsidR="00354FC9" w:rsidRPr="001E52FE">
        <w:t xml:space="preserve">that subsequent theorizing must account for ways in which advisor perceptions align and differ from those of recipients. </w:t>
      </w:r>
      <w:r w:rsidR="00354FC9" w:rsidRPr="001E52FE">
        <w:rPr>
          <w:rFonts w:cs="Times New Roman"/>
        </w:rPr>
        <w:t xml:space="preserve">Prior research indicates that advisors construe problems differently than advice recipients (Danziger et al., 2012), and that supportive behavior is influenced by providers’ appraisals and attributions about the recipient’s problem (Holmstrom, Russell, &amp; Clare, 2013; MacGeorge, 2001) and by goals for the interaction (Guntzviller &amp; MacGeorge, 2013; Shi, 2013). </w:t>
      </w:r>
      <w:r w:rsidR="00354FC9" w:rsidRPr="001E52FE">
        <w:t xml:space="preserve">Our work extends these observations, suggesting </w:t>
      </w:r>
      <w:r w:rsidR="006D66CE" w:rsidRPr="001E52FE">
        <w:t xml:space="preserve">that actor-effects </w:t>
      </w:r>
      <w:r w:rsidR="00673C5B" w:rsidRPr="001E52FE">
        <w:t xml:space="preserve">may remain consistent regardless of role, but </w:t>
      </w:r>
      <w:r w:rsidR="00354FC9" w:rsidRPr="001E52FE">
        <w:t>that</w:t>
      </w:r>
      <w:r w:rsidR="008977EC" w:rsidRPr="001E52FE">
        <w:t xml:space="preserve"> relational intimacy and interdependence put advisors at greater risk for producing advice that w</w:t>
      </w:r>
      <w:r w:rsidR="00354FC9" w:rsidRPr="001E52FE">
        <w:t>ill be less-positively received</w:t>
      </w:r>
      <w:r w:rsidR="009C07FB" w:rsidRPr="001E52FE">
        <w:t>.</w:t>
      </w:r>
      <w:r w:rsidR="00354FC9" w:rsidRPr="001E52FE">
        <w:t xml:space="preserve"> </w:t>
      </w:r>
      <w:bookmarkStart w:id="3" w:name="_Hlk484523735"/>
      <w:r w:rsidR="005B6266" w:rsidRPr="001E52FE">
        <w:t>Examining conversation messages could reveal how these effects manifest</w:t>
      </w:r>
      <w:r w:rsidR="00B52A5E">
        <w:t xml:space="preserve">. For </w:t>
      </w:r>
      <w:r w:rsidR="003F5A9D">
        <w:t xml:space="preserve">example, </w:t>
      </w:r>
      <w:r w:rsidR="005B6266" w:rsidRPr="001E52FE">
        <w:t>do advisors who rate their relationship as higher in independence feel they experience the same stressors and verbally ruminate during the advice interaction, shifting the focus from the advice recipient and causing less</w:t>
      </w:r>
      <w:r w:rsidR="003F5A9D">
        <w:t xml:space="preserve"> positive perceptions of advice (</w:t>
      </w:r>
      <w:r w:rsidR="000C0863" w:rsidRPr="001E52FE">
        <w:t>see Afifi et al., 2017</w:t>
      </w:r>
      <w:r w:rsidR="005B6266" w:rsidRPr="001E52FE">
        <w:t>)</w:t>
      </w:r>
      <w:r w:rsidR="003F5A9D">
        <w:t xml:space="preserve">? </w:t>
      </w:r>
      <w:bookmarkEnd w:id="3"/>
      <w:r w:rsidR="00630354" w:rsidRPr="001E52FE">
        <w:t xml:space="preserve">Moreover, although recipient perceptions of advisor characteristics link to positive recipient outcomes in previous studies, </w:t>
      </w:r>
      <w:r w:rsidR="00A63E82" w:rsidRPr="001E52FE">
        <w:t xml:space="preserve">they negatively impacted advisor advice ratings in the current study. </w:t>
      </w:r>
      <w:r w:rsidR="00FB337D" w:rsidRPr="001E52FE">
        <w:t>These partner-</w:t>
      </w:r>
      <w:r w:rsidR="00F665BC" w:rsidRPr="001E52FE">
        <w:t xml:space="preserve">effects reveal theoretically important insights when </w:t>
      </w:r>
      <w:r w:rsidR="003F2595" w:rsidRPr="001E52FE">
        <w:t xml:space="preserve">models of dyadic interaction </w:t>
      </w:r>
      <w:r w:rsidR="00F665BC" w:rsidRPr="001E52FE">
        <w:t xml:space="preserve">are fully specified. </w:t>
      </w:r>
      <w:r w:rsidR="00354FC9" w:rsidRPr="001E52FE">
        <w:t>To further theory on advisor-recipient discrepancy, its consequences, and possible interventions, f</w:t>
      </w:r>
      <w:r w:rsidR="00354FC9" w:rsidRPr="001E52FE">
        <w:rPr>
          <w:rFonts w:cs="Times New Roman"/>
        </w:rPr>
        <w:t xml:space="preserve">uture research could examine how advisors and recipients evaluate the problem (e.g., problem severity; MacGeorge, Guntzviller, Hanasono et al., 2016) and how problem assessment influences advice messages and evaluations (e.g., MacGeorge, 2001). </w:t>
      </w:r>
    </w:p>
    <w:p w14:paraId="350947B9" w14:textId="77777777" w:rsidR="00236728" w:rsidRPr="001E52FE" w:rsidRDefault="00236728" w:rsidP="00FC2F58">
      <w:pPr>
        <w:spacing w:line="480" w:lineRule="auto"/>
        <w:rPr>
          <w:rFonts w:cs="Times New Roman"/>
          <w:b/>
        </w:rPr>
      </w:pPr>
      <w:r w:rsidRPr="001E52FE">
        <w:rPr>
          <w:rFonts w:cs="Times New Roman"/>
          <w:b/>
        </w:rPr>
        <w:t>Limitations</w:t>
      </w:r>
    </w:p>
    <w:p w14:paraId="401165EA" w14:textId="46E7B46B" w:rsidR="00B51AA2" w:rsidRPr="001E52FE" w:rsidRDefault="00236728" w:rsidP="00FC2F58">
      <w:pPr>
        <w:spacing w:line="480" w:lineRule="auto"/>
        <w:rPr>
          <w:rFonts w:cs="Times New Roman"/>
        </w:rPr>
      </w:pPr>
      <w:r w:rsidRPr="001E52FE">
        <w:rPr>
          <w:rFonts w:cs="Times New Roman"/>
          <w:b/>
        </w:rPr>
        <w:tab/>
      </w:r>
      <w:r w:rsidRPr="001E52FE">
        <w:rPr>
          <w:rFonts w:cs="Times New Roman"/>
        </w:rPr>
        <w:t xml:space="preserve">The current results should be interpreted while considering the limitations of the sample and study design. Study participants were predominantly White, college-aged students, and thus </w:t>
      </w:r>
      <w:r w:rsidRPr="001E52FE">
        <w:rPr>
          <w:rFonts w:cs="Times New Roman"/>
        </w:rPr>
        <w:lastRenderedPageBreak/>
        <w:t xml:space="preserve">are subject to the generalizability limitations inherent in utilizing a fairly well-educated, White, and young adult sample. </w:t>
      </w:r>
      <w:r w:rsidR="00E72D46" w:rsidRPr="001E52FE">
        <w:rPr>
          <w:rFonts w:cs="Times New Roman"/>
        </w:rPr>
        <w:t xml:space="preserve">Our study procedures prioritized selection of </w:t>
      </w:r>
      <w:r w:rsidR="00C81267" w:rsidRPr="001E52FE">
        <w:rPr>
          <w:rFonts w:cs="Times New Roman"/>
        </w:rPr>
        <w:t xml:space="preserve">serious </w:t>
      </w:r>
      <w:r w:rsidR="00E72D46" w:rsidRPr="001E52FE">
        <w:rPr>
          <w:rFonts w:cs="Times New Roman"/>
        </w:rPr>
        <w:t>stres</w:t>
      </w:r>
      <w:r w:rsidR="004F2B80">
        <w:rPr>
          <w:rFonts w:cs="Times New Roman"/>
        </w:rPr>
        <w:t>sors not previously discussed by</w:t>
      </w:r>
      <w:r w:rsidR="00E72D46" w:rsidRPr="001E52FE">
        <w:rPr>
          <w:rFonts w:cs="Times New Roman"/>
        </w:rPr>
        <w:t xml:space="preserve"> the dyad</w:t>
      </w:r>
      <w:r w:rsidR="00D353A8" w:rsidRPr="001E52FE">
        <w:rPr>
          <w:rFonts w:cs="Times New Roman"/>
        </w:rPr>
        <w:t xml:space="preserve">, because past discussions or advice </w:t>
      </w:r>
      <w:r w:rsidR="009B3066" w:rsidRPr="001E52FE">
        <w:rPr>
          <w:rFonts w:cs="Times New Roman"/>
        </w:rPr>
        <w:t>interactions</w:t>
      </w:r>
      <w:r w:rsidR="00D353A8" w:rsidRPr="001E52FE">
        <w:rPr>
          <w:rFonts w:cs="Times New Roman"/>
        </w:rPr>
        <w:t xml:space="preserve"> likely influence subsequent discussions of the same topic. </w:t>
      </w:r>
      <w:r w:rsidR="00D7527B" w:rsidRPr="001E52FE">
        <w:rPr>
          <w:rFonts w:cs="Times New Roman"/>
        </w:rPr>
        <w:t>Thus,</w:t>
      </w:r>
      <w:r w:rsidR="00D353A8" w:rsidRPr="001E52FE">
        <w:rPr>
          <w:rFonts w:cs="Times New Roman"/>
        </w:rPr>
        <w:t xml:space="preserve"> role assignment was not </w:t>
      </w:r>
      <w:r w:rsidR="00955D52">
        <w:rPr>
          <w:rFonts w:cs="Times New Roman"/>
        </w:rPr>
        <w:t>random within the dyad</w:t>
      </w:r>
      <w:r w:rsidR="0069573A" w:rsidRPr="001E52FE">
        <w:rPr>
          <w:rFonts w:cs="Times New Roman"/>
        </w:rPr>
        <w:t>,</w:t>
      </w:r>
      <w:r w:rsidR="00D8705F" w:rsidRPr="001E52FE">
        <w:rPr>
          <w:rFonts w:cs="Times New Roman"/>
        </w:rPr>
        <w:t xml:space="preserve"> but based on problem characteristics</w:t>
      </w:r>
      <w:r w:rsidR="00D353A8" w:rsidRPr="001E52FE">
        <w:rPr>
          <w:rFonts w:cs="Times New Roman"/>
        </w:rPr>
        <w:t xml:space="preserve">. </w:t>
      </w:r>
    </w:p>
    <w:p w14:paraId="767F9673" w14:textId="60FD386B" w:rsidR="00297005" w:rsidRPr="001E52FE" w:rsidRDefault="00236728" w:rsidP="00FC2F58">
      <w:pPr>
        <w:spacing w:line="480" w:lineRule="auto"/>
        <w:ind w:firstLine="720"/>
        <w:rPr>
          <w:rFonts w:cs="Times New Roman"/>
        </w:rPr>
      </w:pPr>
      <w:r w:rsidRPr="001E52FE">
        <w:rPr>
          <w:rFonts w:cs="Times New Roman"/>
        </w:rPr>
        <w:t>Relational characteristics were assessed prior to advice conversations, but advice quality ratings and conversational satisfaction were assessed after the</w:t>
      </w:r>
      <w:r w:rsidR="00970905">
        <w:rPr>
          <w:rFonts w:cs="Times New Roman"/>
        </w:rPr>
        <w:t xml:space="preserve"> conclusion of the conversation. T</w:t>
      </w:r>
      <w:r w:rsidRPr="001E52FE">
        <w:rPr>
          <w:rFonts w:cs="Times New Roman"/>
        </w:rPr>
        <w:t xml:space="preserve">hus, </w:t>
      </w:r>
      <w:r w:rsidR="002D4FAA">
        <w:rPr>
          <w:rFonts w:cs="Times New Roman"/>
        </w:rPr>
        <w:t>although</w:t>
      </w:r>
      <w:r w:rsidRPr="001E52FE">
        <w:rPr>
          <w:rFonts w:cs="Times New Roman"/>
        </w:rPr>
        <w:t xml:space="preserve"> causal claims can be made about relational assessments on advice and conversational ratings, the data cannot fully support causal claims between advice quality and conve</w:t>
      </w:r>
      <w:r w:rsidR="006F506E" w:rsidRPr="001E52FE">
        <w:rPr>
          <w:rFonts w:cs="Times New Roman"/>
        </w:rPr>
        <w:t xml:space="preserve">rsational satisfaction. </w:t>
      </w:r>
      <w:r w:rsidR="00C11453" w:rsidRPr="001E52FE">
        <w:rPr>
          <w:rFonts w:cs="Times New Roman"/>
        </w:rPr>
        <w:t xml:space="preserve">However, a model with these two variables switched produced worse fit. </w:t>
      </w:r>
    </w:p>
    <w:p w14:paraId="17BBAED1" w14:textId="56F6467E" w:rsidR="00236728" w:rsidRPr="001E52FE" w:rsidRDefault="0005567A" w:rsidP="00FC2F58">
      <w:pPr>
        <w:spacing w:line="480" w:lineRule="auto"/>
        <w:ind w:firstLine="720"/>
        <w:rPr>
          <w:rFonts w:cs="Times New Roman"/>
          <w:szCs w:val="24"/>
        </w:rPr>
      </w:pPr>
      <w:r w:rsidRPr="001E52FE">
        <w:rPr>
          <w:rFonts w:cs="Times New Roman"/>
        </w:rPr>
        <w:t>P</w:t>
      </w:r>
      <w:r w:rsidR="00236728" w:rsidRPr="001E52FE">
        <w:rPr>
          <w:rFonts w:cs="Times New Roman"/>
        </w:rPr>
        <w:t xml:space="preserve">erceptions of advice were likely influenced by </w:t>
      </w:r>
      <w:r w:rsidRPr="001E52FE">
        <w:rPr>
          <w:rFonts w:cs="Times New Roman"/>
        </w:rPr>
        <w:t>partner</w:t>
      </w:r>
      <w:r w:rsidR="00236728" w:rsidRPr="001E52FE">
        <w:rPr>
          <w:rFonts w:cs="Times New Roman"/>
        </w:rPr>
        <w:t xml:space="preserve"> response during the interaction. The current study examines advisor and recipient cognitions, with the assumption that these views will</w:t>
      </w:r>
      <w:r w:rsidR="00A436DA">
        <w:rPr>
          <w:rFonts w:cs="Times New Roman"/>
        </w:rPr>
        <w:t xml:space="preserve"> </w:t>
      </w:r>
      <w:r w:rsidR="00236728" w:rsidRPr="001E52FE">
        <w:rPr>
          <w:rFonts w:cs="Times New Roman"/>
        </w:rPr>
        <w:t xml:space="preserve">be communicated </w:t>
      </w:r>
      <w:r w:rsidR="00A62E6C">
        <w:rPr>
          <w:rFonts w:cs="Times New Roman"/>
        </w:rPr>
        <w:t xml:space="preserve">to partners </w:t>
      </w:r>
      <w:r w:rsidR="00236728" w:rsidRPr="001E52FE">
        <w:rPr>
          <w:rFonts w:cs="Times New Roman"/>
        </w:rPr>
        <w:t xml:space="preserve">during the interaction. </w:t>
      </w:r>
      <w:r w:rsidR="00D76A85" w:rsidRPr="001E52FE">
        <w:rPr>
          <w:rFonts w:cs="Times New Roman"/>
        </w:rPr>
        <w:t>We did not measure the process during the interaction by which advisors and recipients came to their evaluations of the advice or the conversation, or the specific conversational behaviors and sequences that influenced these ratings (see MacGeorge et al., 2015</w:t>
      </w:r>
      <w:r w:rsidR="00D975C2" w:rsidRPr="001E52FE">
        <w:rPr>
          <w:rFonts w:cs="Times New Roman"/>
        </w:rPr>
        <w:t>; MacGeorge, Guntzviller, Branch et al., 2016</w:t>
      </w:r>
      <w:r w:rsidR="00D76A85" w:rsidRPr="001E52FE">
        <w:rPr>
          <w:rFonts w:cs="Times New Roman"/>
        </w:rPr>
        <w:t xml:space="preserve">). </w:t>
      </w:r>
      <w:r w:rsidR="00236728" w:rsidRPr="001E52FE">
        <w:rPr>
          <w:rFonts w:cs="Times New Roman"/>
        </w:rPr>
        <w:t xml:space="preserve">Future research could examine specific communication behaviors in which evaluations of the advice are discussed or communicated. </w:t>
      </w:r>
      <w:r w:rsidR="00297005" w:rsidRPr="001E52FE">
        <w:rPr>
          <w:rFonts w:cs="Times New Roman"/>
        </w:rPr>
        <w:t xml:space="preserve">Although modeling involving behaviors and perceptions from both dyadic members is especially complex, incorporating cognitive and behavioral elements is likely necessary for a comprehensive explanation about how advice is exchanged in ways that benefit or harm individuals and relationships. </w:t>
      </w:r>
      <w:r w:rsidR="00236728" w:rsidRPr="001E52FE">
        <w:rPr>
          <w:rFonts w:cs="Times New Roman"/>
          <w:szCs w:val="24"/>
        </w:rPr>
        <w:t xml:space="preserve">Compared with hypothetical scenarios and evaluations of researcher-designed messages, assessments of naturalistic interactions have advantages, yet the </w:t>
      </w:r>
      <w:r w:rsidR="00236728" w:rsidRPr="001E52FE">
        <w:rPr>
          <w:rFonts w:cs="Times New Roman"/>
          <w:szCs w:val="24"/>
        </w:rPr>
        <w:lastRenderedPageBreak/>
        <w:t xml:space="preserve">presence of the recording equipment, or the requirement to discuss a specific problem may have interfered with normal interaction behavior in unknown ways. </w:t>
      </w:r>
      <w:r w:rsidR="00180B66" w:rsidRPr="001E52FE">
        <w:rPr>
          <w:rFonts w:cs="Times New Roman"/>
          <w:szCs w:val="24"/>
        </w:rPr>
        <w:t>W</w:t>
      </w:r>
      <w:r w:rsidR="00236728" w:rsidRPr="001E52FE">
        <w:rPr>
          <w:rFonts w:cs="Times New Roman"/>
          <w:szCs w:val="24"/>
        </w:rPr>
        <w:t>e encourage continued innovation in methods for studying advice and supportive interaction.</w:t>
      </w:r>
    </w:p>
    <w:p w14:paraId="162E5747" w14:textId="77777777" w:rsidR="007E7CC6" w:rsidRPr="001E52FE" w:rsidRDefault="007E7CC6" w:rsidP="00FC2F58">
      <w:pPr>
        <w:spacing w:line="480" w:lineRule="auto"/>
        <w:rPr>
          <w:rFonts w:cs="Times New Roman"/>
          <w:b/>
          <w:szCs w:val="24"/>
        </w:rPr>
      </w:pPr>
      <w:r w:rsidRPr="001E52FE">
        <w:rPr>
          <w:rFonts w:cs="Times New Roman"/>
          <w:b/>
          <w:szCs w:val="24"/>
        </w:rPr>
        <w:t>Advice for Advising Dyads</w:t>
      </w:r>
    </w:p>
    <w:p w14:paraId="0AD6FFFC" w14:textId="557074FC" w:rsidR="00AD10AA" w:rsidRPr="001E52FE" w:rsidRDefault="007E7CC6" w:rsidP="00FC2F58">
      <w:pPr>
        <w:spacing w:after="160" w:line="480" w:lineRule="auto"/>
        <w:ind w:firstLine="720"/>
        <w:rPr>
          <w:rFonts w:cs="Times New Roman"/>
        </w:rPr>
      </w:pPr>
      <w:r w:rsidRPr="001E52FE">
        <w:t>Practically, the current findings indicate that support providers should anticipate their advice influences the recipient’s holistic view of their support</w:t>
      </w:r>
      <w:r w:rsidR="00213704" w:rsidRPr="001E52FE">
        <w:t xml:space="preserve"> and that</w:t>
      </w:r>
      <w:r w:rsidR="00E27D03" w:rsidRPr="001E52FE">
        <w:t xml:space="preserve"> support perceptions matter for future advice interaction ratings</w:t>
      </w:r>
      <w:r w:rsidRPr="001E52FE">
        <w:t xml:space="preserve">. More specifically, advisors need to recognize that what they view as good advice may </w:t>
      </w:r>
      <w:r w:rsidR="009F2FD1">
        <w:t>associate with</w:t>
      </w:r>
      <w:r w:rsidRPr="001E52FE">
        <w:t xml:space="preserve"> lower conversational satisfaction for the recipient, and that having an intimate relationship or being interdependent do not guarantee </w:t>
      </w:r>
      <w:r w:rsidR="00703965">
        <w:t>that advice will be well received</w:t>
      </w:r>
      <w:r w:rsidR="004B5307" w:rsidRPr="001E52FE">
        <w:t>—it may even work against it</w:t>
      </w:r>
      <w:r w:rsidRPr="001E52FE">
        <w:t>. To enhance the likelihood of giving good advice from the recipient’s perspective and leaving recipients satisfied with the supportive conversation, advisors likely need to focus on recommending useful actions, being friendly and respectful, and not pushing their own perspectives, especially when they differ markedly from those of recipients (MacGeorge</w:t>
      </w:r>
      <w:r w:rsidR="000515DB" w:rsidRPr="001E52FE">
        <w:t>, Guntzviller, Branch et al., 2016</w:t>
      </w:r>
      <w:r w:rsidRPr="001E52FE">
        <w:t xml:space="preserve">). At the same time, for the good of close relationships, advice recipients </w:t>
      </w:r>
      <w:r w:rsidR="00606CC6">
        <w:t>could</w:t>
      </w:r>
      <w:r w:rsidRPr="001E52FE">
        <w:t xml:space="preserve"> acknowledge their partne</w:t>
      </w:r>
      <w:r w:rsidR="007A0E03">
        <w:t>rs’ efforts to provide support (</w:t>
      </w:r>
      <w:r w:rsidRPr="001E52FE">
        <w:t>even when those are less-than-ideal</w:t>
      </w:r>
      <w:r w:rsidR="007A0E03">
        <w:t>)</w:t>
      </w:r>
      <w:r w:rsidRPr="001E52FE">
        <w:t xml:space="preserve">, recognize that close others do not always have the perspective to recommend useful actions, and </w:t>
      </w:r>
      <w:r w:rsidR="009908CB" w:rsidRPr="001E52FE">
        <w:t>to help their partners by indicating</w:t>
      </w:r>
      <w:r w:rsidRPr="001E52FE">
        <w:t xml:space="preserve"> the kind of support they are seeking.</w:t>
      </w:r>
      <w:r w:rsidR="00A32CD4" w:rsidRPr="001E52FE">
        <w:t xml:space="preserve"> </w:t>
      </w:r>
      <w:r w:rsidR="00A42BC4" w:rsidRPr="001E52FE">
        <w:t>Engaging in advice interactions with people who have provided good support in the past can be satisfying for both advisors and recipients, and can lead to overall</w:t>
      </w:r>
      <w:r w:rsidR="00FE048A" w:rsidRPr="001E52FE">
        <w:t xml:space="preserve"> higher advice quality ratings.</w:t>
      </w:r>
      <w:r w:rsidR="00A32CD4" w:rsidRPr="001E52FE">
        <w:t xml:space="preserve"> </w:t>
      </w:r>
      <w:r w:rsidR="00AD10AA" w:rsidRPr="001E52FE">
        <w:rPr>
          <w:rFonts w:cs="Times New Roman"/>
        </w:rPr>
        <w:br w:type="page"/>
      </w:r>
    </w:p>
    <w:p w14:paraId="75271B12" w14:textId="77777777" w:rsidR="000A5F7D" w:rsidRPr="001E52FE" w:rsidRDefault="000A5F7D" w:rsidP="00FC2F58">
      <w:pPr>
        <w:spacing w:line="480" w:lineRule="auto"/>
        <w:jc w:val="center"/>
        <w:rPr>
          <w:szCs w:val="24"/>
        </w:rPr>
      </w:pPr>
      <w:r w:rsidRPr="001E52FE">
        <w:rPr>
          <w:szCs w:val="24"/>
        </w:rPr>
        <w:lastRenderedPageBreak/>
        <w:t>References</w:t>
      </w:r>
    </w:p>
    <w:p w14:paraId="024FF0D8" w14:textId="77777777" w:rsidR="00E613F8" w:rsidRPr="001E52FE" w:rsidRDefault="00E613F8" w:rsidP="00FC2F58">
      <w:pPr>
        <w:spacing w:line="480" w:lineRule="auto"/>
        <w:ind w:left="720" w:hanging="720"/>
        <w:rPr>
          <w:rFonts w:cs="Times New Roman"/>
          <w:color w:val="000000"/>
          <w:szCs w:val="24"/>
        </w:rPr>
      </w:pPr>
      <w:r w:rsidRPr="001E52FE">
        <w:rPr>
          <w:rFonts w:cs="Times New Roman"/>
          <w:color w:val="000000"/>
          <w:szCs w:val="24"/>
        </w:rPr>
        <w:t xml:space="preserve">Afifi, T. D., Shahnazi, A. F., Coveleski, S., Davis, S., &amp; Merrill, A. (2017). Testing the ideology of openness: The comparative effects of talking, writing, and avoiding a stressor on rumination and health. </w:t>
      </w:r>
      <w:r w:rsidRPr="001E52FE">
        <w:rPr>
          <w:rFonts w:cs="Times New Roman"/>
          <w:i/>
          <w:color w:val="000000"/>
          <w:szCs w:val="24"/>
        </w:rPr>
        <w:t>Human Communication Research, 43</w:t>
      </w:r>
      <w:r w:rsidRPr="001E52FE">
        <w:rPr>
          <w:rFonts w:cs="Times New Roman"/>
          <w:color w:val="000000"/>
          <w:szCs w:val="24"/>
        </w:rPr>
        <w:t xml:space="preserve">, 76-101. doi:10.1111/hcre.12096 </w:t>
      </w:r>
    </w:p>
    <w:p w14:paraId="1563D0A2" w14:textId="0769D653" w:rsidR="00F4715F" w:rsidRPr="001E52FE" w:rsidRDefault="00F4715F" w:rsidP="00FC2F58">
      <w:pPr>
        <w:spacing w:line="480" w:lineRule="auto"/>
        <w:ind w:left="720" w:hanging="720"/>
        <w:rPr>
          <w:rFonts w:cs="Times New Roman"/>
          <w:szCs w:val="24"/>
        </w:rPr>
      </w:pPr>
      <w:r w:rsidRPr="001E52FE">
        <w:rPr>
          <w:szCs w:val="24"/>
        </w:rPr>
        <w:t xml:space="preserve">Barkan, R., Danziger, S., &amp; Shani, Y. (2016). Do as I say, not as I do: Choice–advice differences in decisions to learn information. </w:t>
      </w:r>
      <w:r w:rsidRPr="001E52FE">
        <w:rPr>
          <w:i/>
          <w:szCs w:val="24"/>
        </w:rPr>
        <w:t>Journal of Economic Behavior &amp; Organization, 125</w:t>
      </w:r>
      <w:r w:rsidRPr="001E52FE">
        <w:rPr>
          <w:szCs w:val="24"/>
        </w:rPr>
        <w:t xml:space="preserve">, </w:t>
      </w:r>
      <w:r w:rsidRPr="001E52FE">
        <w:rPr>
          <w:rFonts w:cs="Times New Roman"/>
          <w:szCs w:val="24"/>
        </w:rPr>
        <w:t>57-66.</w:t>
      </w:r>
      <w:r w:rsidR="007A4B9D" w:rsidRPr="001E52FE">
        <w:rPr>
          <w:rFonts w:cs="Times New Roman"/>
          <w:szCs w:val="24"/>
        </w:rPr>
        <w:t xml:space="preserve"> doi: 10.1016/j.jebo.2016.02.005</w:t>
      </w:r>
    </w:p>
    <w:p w14:paraId="31479EA2" w14:textId="77777777" w:rsidR="00F4715F" w:rsidRPr="001E52FE" w:rsidRDefault="00F4715F" w:rsidP="00FC2F58">
      <w:pPr>
        <w:spacing w:line="480" w:lineRule="auto"/>
        <w:ind w:left="720" w:hanging="720"/>
        <w:rPr>
          <w:szCs w:val="24"/>
        </w:rPr>
      </w:pPr>
      <w:r w:rsidRPr="001E52FE">
        <w:rPr>
          <w:szCs w:val="24"/>
        </w:rPr>
        <w:t xml:space="preserve">Bodie, G. D., Jones, S. M., Vickery, A. J., Hatcher, L., &amp; Cannava, K. (2014). Examining the construct validity of enacted support: A </w:t>
      </w:r>
      <w:proofErr w:type="spellStart"/>
      <w:r w:rsidRPr="001E52FE">
        <w:rPr>
          <w:szCs w:val="24"/>
        </w:rPr>
        <w:t>multitrait</w:t>
      </w:r>
      <w:proofErr w:type="spellEnd"/>
      <w:r w:rsidRPr="001E52FE">
        <w:rPr>
          <w:szCs w:val="24"/>
        </w:rPr>
        <w:t xml:space="preserve">–multimethod analysis of three perspectives for judging immediacy and listening behaviors. </w:t>
      </w:r>
      <w:r w:rsidRPr="001E52FE">
        <w:rPr>
          <w:i/>
          <w:szCs w:val="24"/>
        </w:rPr>
        <w:t>Communication Monographs, 81</w:t>
      </w:r>
      <w:r w:rsidRPr="001E52FE">
        <w:rPr>
          <w:szCs w:val="24"/>
        </w:rPr>
        <w:t>, 495-523. doi: 10.1080/03637751.2014.957223</w:t>
      </w:r>
    </w:p>
    <w:p w14:paraId="239D8724" w14:textId="353A7D86" w:rsidR="00F4715F" w:rsidRPr="001E52FE" w:rsidRDefault="00F4715F" w:rsidP="00FC2F58">
      <w:pPr>
        <w:spacing w:line="480" w:lineRule="auto"/>
        <w:ind w:left="720" w:hanging="720"/>
        <w:rPr>
          <w:rStyle w:val="Hyperlink"/>
          <w:szCs w:val="24"/>
        </w:rPr>
      </w:pPr>
      <w:r w:rsidRPr="001E52FE">
        <w:rPr>
          <w:szCs w:val="24"/>
        </w:rPr>
        <w:t xml:space="preserve">Bonaccio, S., &amp; Dalal, R. S. (2006). Advice taking and decision-making: An integrative literature review, and implications for the organizational sciences. </w:t>
      </w:r>
      <w:r w:rsidRPr="001E52FE">
        <w:rPr>
          <w:i/>
          <w:szCs w:val="24"/>
        </w:rPr>
        <w:t>Organizational Behavior and Human Decision Processes</w:t>
      </w:r>
      <w:r w:rsidRPr="001E52FE">
        <w:rPr>
          <w:szCs w:val="24"/>
        </w:rPr>
        <w:t xml:space="preserve">, </w:t>
      </w:r>
      <w:r w:rsidRPr="001E52FE">
        <w:rPr>
          <w:i/>
          <w:szCs w:val="24"/>
        </w:rPr>
        <w:t>101</w:t>
      </w:r>
      <w:r w:rsidRPr="001E52FE">
        <w:rPr>
          <w:szCs w:val="24"/>
        </w:rPr>
        <w:t>, 127-151. doi: 10.1016/j.obhdp.2006.07.001</w:t>
      </w:r>
    </w:p>
    <w:p w14:paraId="6D564532" w14:textId="12EE5287" w:rsidR="00F4715F" w:rsidRPr="001E52FE" w:rsidRDefault="00F4715F" w:rsidP="00FC2F58">
      <w:pPr>
        <w:spacing w:line="480" w:lineRule="auto"/>
        <w:ind w:left="720" w:hanging="720"/>
        <w:rPr>
          <w:szCs w:val="24"/>
        </w:rPr>
      </w:pPr>
      <w:r w:rsidRPr="001E52FE">
        <w:rPr>
          <w:szCs w:val="24"/>
        </w:rPr>
        <w:t xml:space="preserve">Bradbury, T. N., </w:t>
      </w:r>
      <w:proofErr w:type="spellStart"/>
      <w:r w:rsidRPr="001E52FE">
        <w:rPr>
          <w:szCs w:val="24"/>
        </w:rPr>
        <w:t>Fincham</w:t>
      </w:r>
      <w:proofErr w:type="spellEnd"/>
      <w:r w:rsidRPr="001E52FE">
        <w:rPr>
          <w:szCs w:val="24"/>
        </w:rPr>
        <w:t xml:space="preserve">, F. D., &amp; Beach, S. R. (2000). Research on the nature and determinants of marital satisfaction: A decade in review. </w:t>
      </w:r>
      <w:r w:rsidRPr="001E52FE">
        <w:rPr>
          <w:i/>
          <w:szCs w:val="24"/>
        </w:rPr>
        <w:t>Journal of Marriage and Family, 62</w:t>
      </w:r>
      <w:r w:rsidRPr="001E52FE">
        <w:rPr>
          <w:szCs w:val="24"/>
        </w:rPr>
        <w:t>, 964-980.</w:t>
      </w:r>
      <w:r w:rsidR="00265373">
        <w:rPr>
          <w:szCs w:val="24"/>
        </w:rPr>
        <w:t xml:space="preserve"> doi: </w:t>
      </w:r>
      <w:r w:rsidR="00265373" w:rsidRPr="00265373">
        <w:rPr>
          <w:szCs w:val="24"/>
        </w:rPr>
        <w:t>10.1111/j.1741-3737.</w:t>
      </w:r>
      <w:proofErr w:type="gramStart"/>
      <w:r w:rsidR="00265373" w:rsidRPr="00265373">
        <w:rPr>
          <w:szCs w:val="24"/>
        </w:rPr>
        <w:t>2000.00964.x</w:t>
      </w:r>
      <w:proofErr w:type="gramEnd"/>
    </w:p>
    <w:p w14:paraId="21A97631" w14:textId="77777777" w:rsidR="00F4715F" w:rsidRPr="001E52FE" w:rsidRDefault="00F4715F" w:rsidP="00FC2F58">
      <w:pPr>
        <w:spacing w:line="480" w:lineRule="auto"/>
        <w:ind w:left="720" w:hanging="720"/>
        <w:rPr>
          <w:szCs w:val="24"/>
        </w:rPr>
      </w:pPr>
      <w:r w:rsidRPr="001E52FE">
        <w:rPr>
          <w:szCs w:val="24"/>
        </w:rPr>
        <w:t xml:space="preserve">Carlson, C. L. (2016). Predicting emerging adults’ implementation of parental advice: Source, situation, relationship, and message characteristics. </w:t>
      </w:r>
      <w:r w:rsidRPr="001E52FE">
        <w:rPr>
          <w:i/>
          <w:szCs w:val="24"/>
        </w:rPr>
        <w:t>Western Journal of Communication, 80</w:t>
      </w:r>
      <w:r w:rsidRPr="001E52FE">
        <w:rPr>
          <w:szCs w:val="24"/>
        </w:rPr>
        <w:t>, 304-326. doi: 10.1080/10570314.2016.1142112</w:t>
      </w:r>
    </w:p>
    <w:p w14:paraId="7D280658" w14:textId="77777777" w:rsidR="00F4715F" w:rsidRPr="001E52FE" w:rsidRDefault="00F4715F" w:rsidP="00FC2F58">
      <w:pPr>
        <w:spacing w:line="480" w:lineRule="auto"/>
        <w:ind w:left="720" w:hanging="720"/>
        <w:rPr>
          <w:szCs w:val="24"/>
        </w:rPr>
      </w:pPr>
      <w:r w:rsidRPr="001E52FE">
        <w:rPr>
          <w:szCs w:val="24"/>
        </w:rPr>
        <w:lastRenderedPageBreak/>
        <w:t xml:space="preserve">Caughlin, J. P. (2010). A multiple goals theory of personal relationships: Conceptual integration and program overview. </w:t>
      </w:r>
      <w:r w:rsidRPr="001E52FE">
        <w:rPr>
          <w:i/>
          <w:szCs w:val="24"/>
        </w:rPr>
        <w:t>Journal of Social and Personal Relationships, 27</w:t>
      </w:r>
      <w:r w:rsidRPr="001E52FE">
        <w:rPr>
          <w:szCs w:val="24"/>
        </w:rPr>
        <w:t>, 824-848. doi: 10.1177/0265407510373262</w:t>
      </w:r>
    </w:p>
    <w:p w14:paraId="0388684A" w14:textId="318442C0" w:rsidR="00F4715F" w:rsidRPr="001E52FE" w:rsidRDefault="00F4715F" w:rsidP="00FC2F58">
      <w:pPr>
        <w:spacing w:line="480" w:lineRule="auto"/>
        <w:ind w:left="720" w:hanging="720"/>
        <w:rPr>
          <w:rFonts w:cs="Times New Roman"/>
          <w:szCs w:val="24"/>
        </w:rPr>
      </w:pPr>
      <w:r w:rsidRPr="001E52FE">
        <w:rPr>
          <w:rFonts w:cs="Times New Roman"/>
          <w:szCs w:val="24"/>
        </w:rPr>
        <w:t xml:space="preserve">Dalal, R. S., &amp; Bonaccio, S. (2010). What types of advice do decision-makers prefer? </w:t>
      </w:r>
      <w:r w:rsidRPr="001E52FE">
        <w:rPr>
          <w:rFonts w:cs="Times New Roman"/>
          <w:i/>
          <w:iCs/>
          <w:szCs w:val="24"/>
        </w:rPr>
        <w:t>Organizational Behavior and Human Decision Processes, 112</w:t>
      </w:r>
      <w:r w:rsidRPr="001E52FE">
        <w:rPr>
          <w:rFonts w:cs="Times New Roman"/>
          <w:szCs w:val="24"/>
        </w:rPr>
        <w:t>, 11-23. doi: 10.1016/j.obhdp.2009.11.007</w:t>
      </w:r>
    </w:p>
    <w:p w14:paraId="23159E59" w14:textId="77777777" w:rsidR="00F4715F" w:rsidRPr="001E52FE" w:rsidRDefault="00F4715F" w:rsidP="00FC2F58">
      <w:pPr>
        <w:spacing w:line="480" w:lineRule="auto"/>
        <w:ind w:left="720" w:hanging="720"/>
        <w:rPr>
          <w:szCs w:val="24"/>
        </w:rPr>
      </w:pPr>
      <w:r w:rsidRPr="001E52FE">
        <w:rPr>
          <w:szCs w:val="24"/>
        </w:rPr>
        <w:t xml:space="preserve">Danziger, S., Montal, R., &amp; Barkan, R. (2012). Idealistic advice and pragmatic choice: A psychological distance account. </w:t>
      </w:r>
      <w:r w:rsidRPr="001E52FE">
        <w:rPr>
          <w:i/>
          <w:szCs w:val="24"/>
        </w:rPr>
        <w:t>Journal of Personality and Social Psychology, 102</w:t>
      </w:r>
      <w:r w:rsidRPr="001E52FE">
        <w:rPr>
          <w:szCs w:val="24"/>
        </w:rPr>
        <w:t>, 1105-1117. doi: 10.1037/a0027013</w:t>
      </w:r>
    </w:p>
    <w:p w14:paraId="0F689068" w14:textId="77777777" w:rsidR="00F4715F" w:rsidRPr="001E52FE" w:rsidRDefault="00F4715F" w:rsidP="00FC2F58">
      <w:pPr>
        <w:spacing w:line="480" w:lineRule="auto"/>
        <w:ind w:left="720" w:hanging="720"/>
        <w:rPr>
          <w:szCs w:val="24"/>
        </w:rPr>
      </w:pPr>
      <w:r w:rsidRPr="001E52FE">
        <w:rPr>
          <w:szCs w:val="24"/>
        </w:rPr>
        <w:t xml:space="preserve">Feng, B. (2009). Testing an integrated model of advice giving in supportive interactions. </w:t>
      </w:r>
      <w:r w:rsidRPr="001E52FE">
        <w:rPr>
          <w:i/>
          <w:szCs w:val="24"/>
        </w:rPr>
        <w:t>Human Communication Research, 35</w:t>
      </w:r>
      <w:r w:rsidRPr="001E52FE">
        <w:rPr>
          <w:szCs w:val="24"/>
        </w:rPr>
        <w:t>, 115-129. doi: 10.1111/j.1468-2958.</w:t>
      </w:r>
      <w:proofErr w:type="gramStart"/>
      <w:r w:rsidRPr="001E52FE">
        <w:rPr>
          <w:szCs w:val="24"/>
        </w:rPr>
        <w:t>2008.01340.x</w:t>
      </w:r>
      <w:proofErr w:type="gramEnd"/>
    </w:p>
    <w:p w14:paraId="617717D7" w14:textId="77777777" w:rsidR="00F4715F" w:rsidRPr="001E52FE" w:rsidRDefault="00F4715F" w:rsidP="00FC2F58">
      <w:pPr>
        <w:spacing w:line="480" w:lineRule="auto"/>
        <w:ind w:left="720" w:hanging="720"/>
        <w:rPr>
          <w:szCs w:val="24"/>
        </w:rPr>
      </w:pPr>
      <w:r w:rsidRPr="001E52FE">
        <w:rPr>
          <w:szCs w:val="24"/>
        </w:rPr>
        <w:t xml:space="preserve">Feng, B., &amp; Feng, H. (2013). Examining cultural similarities and differences in responses to advice: A comparison of American and Chinese college students. </w:t>
      </w:r>
      <w:r w:rsidRPr="001E52FE">
        <w:rPr>
          <w:i/>
          <w:szCs w:val="24"/>
        </w:rPr>
        <w:t>Communication Research, 40</w:t>
      </w:r>
      <w:r w:rsidRPr="001E52FE">
        <w:rPr>
          <w:szCs w:val="24"/>
        </w:rPr>
        <w:t>, 623-644. doi: 10.1177/0093650211433826</w:t>
      </w:r>
    </w:p>
    <w:p w14:paraId="30DA6AD9" w14:textId="77777777" w:rsidR="00F4715F" w:rsidRPr="001E52FE" w:rsidRDefault="00F4715F" w:rsidP="00FC2F58">
      <w:pPr>
        <w:spacing w:line="480" w:lineRule="auto"/>
        <w:ind w:left="720" w:hanging="720"/>
        <w:rPr>
          <w:szCs w:val="24"/>
        </w:rPr>
      </w:pPr>
      <w:r w:rsidRPr="001E52FE">
        <w:rPr>
          <w:szCs w:val="24"/>
        </w:rPr>
        <w:t xml:space="preserve">Feng, B., &amp; MacGeorge, E. L. (2010). The influences of message and source factors on advice outcomes. </w:t>
      </w:r>
      <w:r w:rsidRPr="001E52FE">
        <w:rPr>
          <w:i/>
          <w:szCs w:val="24"/>
        </w:rPr>
        <w:t>Communication Research, 37</w:t>
      </w:r>
      <w:r w:rsidRPr="001E52FE">
        <w:rPr>
          <w:szCs w:val="24"/>
        </w:rPr>
        <w:t>, 576-598. doi: 10.1177/0093650210368258</w:t>
      </w:r>
    </w:p>
    <w:p w14:paraId="7D10BD3F" w14:textId="77777777" w:rsidR="00450907" w:rsidRPr="001E52FE" w:rsidRDefault="00450907" w:rsidP="00FC2F58">
      <w:pPr>
        <w:spacing w:line="480" w:lineRule="auto"/>
        <w:ind w:left="720" w:hanging="720"/>
        <w:rPr>
          <w:szCs w:val="24"/>
        </w:rPr>
      </w:pPr>
      <w:r w:rsidRPr="001E52FE">
        <w:rPr>
          <w:szCs w:val="24"/>
        </w:rPr>
        <w:t xml:space="preserve">Feng, B., &amp; Magen, E. (2016). Relationship closeness predicts unsolicited advice giving in supportive interactions. </w:t>
      </w:r>
      <w:r w:rsidRPr="001E52FE">
        <w:rPr>
          <w:i/>
          <w:szCs w:val="24"/>
        </w:rPr>
        <w:t>Journal of Social and Personal Relationships, 33</w:t>
      </w:r>
      <w:r w:rsidRPr="001E52FE">
        <w:rPr>
          <w:szCs w:val="24"/>
        </w:rPr>
        <w:t xml:space="preserve">, 751-767. doi:10.1177/0265407515592262 </w:t>
      </w:r>
    </w:p>
    <w:p w14:paraId="669D2BF1" w14:textId="0D89DDDA" w:rsidR="00F4715F" w:rsidRPr="001E52FE" w:rsidRDefault="00F4715F" w:rsidP="00FC2F58">
      <w:pPr>
        <w:spacing w:line="480" w:lineRule="auto"/>
        <w:ind w:left="720" w:hanging="720"/>
        <w:rPr>
          <w:szCs w:val="24"/>
        </w:rPr>
      </w:pPr>
      <w:r w:rsidRPr="001E52FE">
        <w:rPr>
          <w:szCs w:val="24"/>
        </w:rPr>
        <w:t xml:space="preserve">Fingerman, K. L. (2009). Consequential strangers and peripheral ties: The importance of unimportant relationships. </w:t>
      </w:r>
      <w:r w:rsidRPr="001E52FE">
        <w:rPr>
          <w:i/>
          <w:szCs w:val="24"/>
        </w:rPr>
        <w:t>Journal of Family Theory &amp; Review, 1</w:t>
      </w:r>
      <w:r w:rsidRPr="001E52FE">
        <w:rPr>
          <w:szCs w:val="24"/>
        </w:rPr>
        <w:t>, 69-86. doi: 10.1111/j.1756-2589.</w:t>
      </w:r>
      <w:proofErr w:type="gramStart"/>
      <w:r w:rsidRPr="001E52FE">
        <w:rPr>
          <w:szCs w:val="24"/>
        </w:rPr>
        <w:t>2009.00010.x</w:t>
      </w:r>
      <w:proofErr w:type="gramEnd"/>
    </w:p>
    <w:p w14:paraId="36ABA6A6" w14:textId="77777777" w:rsidR="00F4715F" w:rsidRPr="001E52FE" w:rsidRDefault="00F4715F" w:rsidP="00FC2F58">
      <w:pPr>
        <w:spacing w:line="480" w:lineRule="auto"/>
        <w:ind w:left="720" w:hanging="720"/>
        <w:rPr>
          <w:szCs w:val="24"/>
        </w:rPr>
      </w:pPr>
      <w:r w:rsidRPr="001E52FE">
        <w:rPr>
          <w:szCs w:val="24"/>
        </w:rPr>
        <w:lastRenderedPageBreak/>
        <w:t xml:space="preserve">Goldsmith, D. J. (2004). </w:t>
      </w:r>
      <w:r w:rsidRPr="001E52FE">
        <w:rPr>
          <w:i/>
          <w:szCs w:val="24"/>
        </w:rPr>
        <w:t>Communicating social support</w:t>
      </w:r>
      <w:r w:rsidRPr="001E52FE">
        <w:rPr>
          <w:szCs w:val="24"/>
        </w:rPr>
        <w:t>. New York, NY: Cambridge University Press.</w:t>
      </w:r>
    </w:p>
    <w:p w14:paraId="72250FEF" w14:textId="16D02731" w:rsidR="00EB448D" w:rsidRPr="001E52FE" w:rsidRDefault="00EB448D" w:rsidP="00FC2F58">
      <w:pPr>
        <w:spacing w:line="480" w:lineRule="auto"/>
        <w:ind w:left="720" w:hanging="720"/>
        <w:rPr>
          <w:szCs w:val="24"/>
        </w:rPr>
      </w:pPr>
      <w:r w:rsidRPr="001E52FE">
        <w:rPr>
          <w:szCs w:val="24"/>
        </w:rPr>
        <w:t xml:space="preserve">Goldsmith, D. J., &amp; Fitch, K. (1997). The normative context of advice as social support. </w:t>
      </w:r>
      <w:r w:rsidRPr="001E52FE">
        <w:rPr>
          <w:i/>
          <w:szCs w:val="24"/>
        </w:rPr>
        <w:t>Human Communication Research, 23</w:t>
      </w:r>
      <w:r w:rsidRPr="001E52FE">
        <w:rPr>
          <w:szCs w:val="24"/>
        </w:rPr>
        <w:t>, 454-476.</w:t>
      </w:r>
      <w:r w:rsidR="003F1335">
        <w:rPr>
          <w:szCs w:val="24"/>
        </w:rPr>
        <w:t xml:space="preserve"> doi: </w:t>
      </w:r>
      <w:r w:rsidR="003F1335" w:rsidRPr="003F1335">
        <w:rPr>
          <w:szCs w:val="24"/>
        </w:rPr>
        <w:t>10.1111/j.1468-</w:t>
      </w:r>
      <w:proofErr w:type="gramStart"/>
      <w:r w:rsidR="003F1335" w:rsidRPr="003F1335">
        <w:rPr>
          <w:szCs w:val="24"/>
        </w:rPr>
        <w:t>2958.1997.tb</w:t>
      </w:r>
      <w:proofErr w:type="gramEnd"/>
      <w:r w:rsidR="003F1335" w:rsidRPr="003F1335">
        <w:rPr>
          <w:szCs w:val="24"/>
        </w:rPr>
        <w:t>00406.x</w:t>
      </w:r>
    </w:p>
    <w:p w14:paraId="12E137AB" w14:textId="77777777" w:rsidR="00F4715F" w:rsidRPr="001E52FE" w:rsidRDefault="00F4715F" w:rsidP="00FC2F58">
      <w:pPr>
        <w:spacing w:line="480" w:lineRule="auto"/>
        <w:ind w:left="720" w:hanging="720"/>
        <w:rPr>
          <w:szCs w:val="24"/>
        </w:rPr>
      </w:pPr>
      <w:r w:rsidRPr="001E52FE">
        <w:rPr>
          <w:szCs w:val="24"/>
        </w:rPr>
        <w:t xml:space="preserve">Guntzviller, L. M., &amp; MacGeorge, E. L. (2013). Modeling interactional influence in advice exchanges: Advice giver goals and recipient evaluations. </w:t>
      </w:r>
      <w:r w:rsidRPr="001E52FE">
        <w:rPr>
          <w:i/>
          <w:szCs w:val="24"/>
        </w:rPr>
        <w:t>Communication Monographs, 80</w:t>
      </w:r>
      <w:r w:rsidRPr="001E52FE">
        <w:rPr>
          <w:szCs w:val="24"/>
        </w:rPr>
        <w:t>, 83-100. doi: 10.1080/03637751.2012.739707</w:t>
      </w:r>
    </w:p>
    <w:p w14:paraId="652147B4" w14:textId="699FAC0F" w:rsidR="00F4715F" w:rsidRPr="001E52FE" w:rsidRDefault="00F4715F" w:rsidP="00FC2F58">
      <w:pPr>
        <w:spacing w:line="480" w:lineRule="auto"/>
        <w:ind w:left="720" w:hanging="720"/>
        <w:rPr>
          <w:szCs w:val="24"/>
        </w:rPr>
      </w:pPr>
      <w:r w:rsidRPr="001E52FE">
        <w:rPr>
          <w:szCs w:val="24"/>
        </w:rPr>
        <w:t xml:space="preserve">Guntzviller, L. M., Ratcliff, C. L., Dorsch, T. E., &amp; Osai, K. V. (2016). How do emerging adults respond to exercise advice from parents? A test of advice response theory. </w:t>
      </w:r>
      <w:r w:rsidRPr="001E52FE">
        <w:rPr>
          <w:i/>
          <w:szCs w:val="24"/>
        </w:rPr>
        <w:t>Journal of Social and Personal Relationships</w:t>
      </w:r>
      <w:r w:rsidRPr="001E52FE">
        <w:rPr>
          <w:szCs w:val="24"/>
        </w:rPr>
        <w:t>. doi: 10.1177/0265407516662920</w:t>
      </w:r>
    </w:p>
    <w:p w14:paraId="48C8A127" w14:textId="64405B8B" w:rsidR="00F4715F" w:rsidRPr="001E52FE" w:rsidRDefault="00F4715F" w:rsidP="00FC2F58">
      <w:pPr>
        <w:spacing w:line="480" w:lineRule="auto"/>
        <w:ind w:left="720" w:hanging="720"/>
        <w:rPr>
          <w:szCs w:val="24"/>
        </w:rPr>
      </w:pPr>
      <w:r w:rsidRPr="001E52FE">
        <w:rPr>
          <w:szCs w:val="24"/>
        </w:rPr>
        <w:t xml:space="preserve">Hecht, M. L. (1978). The conceptualization and measurement of interpersonal communication satisfaction. </w:t>
      </w:r>
      <w:r w:rsidRPr="001E52FE">
        <w:rPr>
          <w:i/>
          <w:szCs w:val="24"/>
        </w:rPr>
        <w:t>Human Communication Research, 4</w:t>
      </w:r>
      <w:r w:rsidRPr="001E52FE">
        <w:rPr>
          <w:szCs w:val="24"/>
        </w:rPr>
        <w:t>, 253-264.</w:t>
      </w:r>
      <w:r w:rsidR="001F2625">
        <w:rPr>
          <w:szCs w:val="24"/>
        </w:rPr>
        <w:t xml:space="preserve"> doi: </w:t>
      </w:r>
      <w:r w:rsidR="001F2625" w:rsidRPr="001F2625">
        <w:rPr>
          <w:szCs w:val="24"/>
        </w:rPr>
        <w:t>10.1111/j.1468-</w:t>
      </w:r>
      <w:proofErr w:type="gramStart"/>
      <w:r w:rsidR="001F2625" w:rsidRPr="001F2625">
        <w:rPr>
          <w:szCs w:val="24"/>
        </w:rPr>
        <w:t>2958.1978.tb</w:t>
      </w:r>
      <w:proofErr w:type="gramEnd"/>
      <w:r w:rsidR="001F2625" w:rsidRPr="001F2625">
        <w:rPr>
          <w:szCs w:val="24"/>
        </w:rPr>
        <w:t>00614.x</w:t>
      </w:r>
    </w:p>
    <w:p w14:paraId="53DB2A10" w14:textId="77777777" w:rsidR="00F4715F" w:rsidRPr="001E52FE" w:rsidRDefault="00F4715F" w:rsidP="00FC2F58">
      <w:pPr>
        <w:spacing w:line="480" w:lineRule="auto"/>
        <w:ind w:left="720" w:hanging="720"/>
        <w:rPr>
          <w:szCs w:val="24"/>
        </w:rPr>
      </w:pPr>
      <w:r w:rsidRPr="001E52FE">
        <w:rPr>
          <w:szCs w:val="24"/>
        </w:rPr>
        <w:t xml:space="preserve">High, A. C., &amp; Solomon, D. H. (2014). Communication channel, sex, and the immediate and longitudinal outcomes of verbal person-centered support. </w:t>
      </w:r>
      <w:r w:rsidRPr="001E52FE">
        <w:rPr>
          <w:i/>
          <w:szCs w:val="24"/>
        </w:rPr>
        <w:t>Communication Monographs, 81</w:t>
      </w:r>
      <w:r w:rsidRPr="001E52FE">
        <w:rPr>
          <w:szCs w:val="24"/>
        </w:rPr>
        <w:t>, 439-468. doi: 10.1080/03637751.2014.933245</w:t>
      </w:r>
    </w:p>
    <w:p w14:paraId="19E979F0" w14:textId="091FA0C4" w:rsidR="00F4715F" w:rsidRPr="001E52FE" w:rsidRDefault="00F4715F" w:rsidP="00FC2F58">
      <w:pPr>
        <w:spacing w:line="480" w:lineRule="auto"/>
        <w:ind w:left="720" w:hanging="720"/>
        <w:rPr>
          <w:szCs w:val="24"/>
        </w:rPr>
      </w:pPr>
      <w:r w:rsidRPr="001E52FE">
        <w:rPr>
          <w:szCs w:val="24"/>
        </w:rPr>
        <w:t xml:space="preserve">Holmstrom, A. J., Russell, J. C., &amp; Clare, D. D. (2013). Esteem support messages received during the job search: A test of the CETESM. </w:t>
      </w:r>
      <w:r w:rsidRPr="001E52FE">
        <w:rPr>
          <w:i/>
          <w:szCs w:val="24"/>
        </w:rPr>
        <w:t>Communication Monographs, 80</w:t>
      </w:r>
      <w:r w:rsidRPr="001E52FE">
        <w:rPr>
          <w:szCs w:val="24"/>
        </w:rPr>
        <w:t>, 220-242.</w:t>
      </w:r>
      <w:r w:rsidR="00E31A13">
        <w:rPr>
          <w:szCs w:val="24"/>
        </w:rPr>
        <w:t xml:space="preserve"> doi: </w:t>
      </w:r>
      <w:r w:rsidR="00E31A13" w:rsidRPr="00E31A13">
        <w:rPr>
          <w:szCs w:val="24"/>
        </w:rPr>
        <w:t>10.1080/03637751.2013.775699</w:t>
      </w:r>
    </w:p>
    <w:p w14:paraId="492E1D83" w14:textId="77777777" w:rsidR="00A80B07" w:rsidRPr="001E52FE" w:rsidRDefault="00A80B07" w:rsidP="00FC2F58">
      <w:pPr>
        <w:spacing w:line="480" w:lineRule="auto"/>
        <w:ind w:left="720" w:hanging="720"/>
        <w:rPr>
          <w:szCs w:val="24"/>
        </w:rPr>
      </w:pPr>
      <w:r w:rsidRPr="001E52FE">
        <w:rPr>
          <w:szCs w:val="24"/>
        </w:rPr>
        <w:t xml:space="preserve">Jones, S. M., &amp; Bodie, G. D. (2014). Supportive communication. In C. R. Berger (Ed.), </w:t>
      </w:r>
      <w:r w:rsidRPr="001E52FE">
        <w:rPr>
          <w:i/>
          <w:szCs w:val="24"/>
        </w:rPr>
        <w:t>Interpersonal communication</w:t>
      </w:r>
      <w:r w:rsidRPr="001E52FE">
        <w:rPr>
          <w:szCs w:val="24"/>
        </w:rPr>
        <w:t xml:space="preserve"> (pp. 371-394). Berlin: De </w:t>
      </w:r>
      <w:proofErr w:type="spellStart"/>
      <w:r w:rsidRPr="001E52FE">
        <w:rPr>
          <w:szCs w:val="24"/>
        </w:rPr>
        <w:t>Gruyter</w:t>
      </w:r>
      <w:proofErr w:type="spellEnd"/>
      <w:r w:rsidRPr="001E52FE">
        <w:rPr>
          <w:szCs w:val="24"/>
        </w:rPr>
        <w:t>.</w:t>
      </w:r>
    </w:p>
    <w:p w14:paraId="33280942" w14:textId="3B6C6A13" w:rsidR="00F4715F" w:rsidRPr="001E52FE" w:rsidRDefault="00F4715F" w:rsidP="00FC2F58">
      <w:pPr>
        <w:spacing w:line="480" w:lineRule="auto"/>
        <w:ind w:left="720" w:hanging="720"/>
        <w:rPr>
          <w:szCs w:val="24"/>
        </w:rPr>
      </w:pPr>
      <w:r w:rsidRPr="001E52FE">
        <w:rPr>
          <w:szCs w:val="24"/>
        </w:rPr>
        <w:t xml:space="preserve">Kenny, D. A., Kashy, D. A., &amp; Cook, W. L. (2006). </w:t>
      </w:r>
      <w:r w:rsidRPr="001E52FE">
        <w:rPr>
          <w:i/>
          <w:szCs w:val="24"/>
        </w:rPr>
        <w:t>Dyadic data analysis</w:t>
      </w:r>
      <w:r w:rsidRPr="001E52FE">
        <w:rPr>
          <w:szCs w:val="24"/>
        </w:rPr>
        <w:t>. New York, NY: Guilford Press.</w:t>
      </w:r>
    </w:p>
    <w:p w14:paraId="21F7F6FB" w14:textId="77777777" w:rsidR="00F4715F" w:rsidRPr="001E52FE" w:rsidRDefault="00F4715F" w:rsidP="00FC2F58">
      <w:pPr>
        <w:spacing w:line="480" w:lineRule="auto"/>
        <w:ind w:left="720" w:hanging="720"/>
        <w:rPr>
          <w:szCs w:val="24"/>
        </w:rPr>
      </w:pPr>
      <w:r w:rsidRPr="001E52FE">
        <w:rPr>
          <w:szCs w:val="24"/>
        </w:rPr>
        <w:lastRenderedPageBreak/>
        <w:t xml:space="preserve">Kline, R. B. (2011). </w:t>
      </w:r>
      <w:r w:rsidRPr="001E52FE">
        <w:rPr>
          <w:i/>
          <w:szCs w:val="24"/>
        </w:rPr>
        <w:t xml:space="preserve">Principles and practice of structural equation modeling </w:t>
      </w:r>
      <w:r w:rsidRPr="001E52FE">
        <w:rPr>
          <w:szCs w:val="24"/>
        </w:rPr>
        <w:t>(3rd ed.). New York, NY: Guilford Press.</w:t>
      </w:r>
    </w:p>
    <w:p w14:paraId="40CAB208" w14:textId="77777777" w:rsidR="00470C99" w:rsidRPr="001E52FE" w:rsidRDefault="00F4715F" w:rsidP="00FC2F58">
      <w:pPr>
        <w:spacing w:line="480" w:lineRule="auto"/>
        <w:ind w:left="720" w:hanging="720"/>
        <w:rPr>
          <w:szCs w:val="24"/>
        </w:rPr>
      </w:pPr>
      <w:r w:rsidRPr="001E52FE">
        <w:rPr>
          <w:szCs w:val="24"/>
        </w:rPr>
        <w:t xml:space="preserve">Knobloch, L. K., &amp; Solomon, D. H. (2005). Relational uncertainty and relational information processing: Questions without answers? </w:t>
      </w:r>
      <w:r w:rsidRPr="001E52FE">
        <w:rPr>
          <w:i/>
          <w:szCs w:val="24"/>
        </w:rPr>
        <w:t>Communication Research, 32</w:t>
      </w:r>
      <w:r w:rsidRPr="001E52FE">
        <w:rPr>
          <w:szCs w:val="24"/>
        </w:rPr>
        <w:t>, 349-388. doi: 10.1177/0093650205275384</w:t>
      </w:r>
    </w:p>
    <w:p w14:paraId="3B1CB53F" w14:textId="77777777" w:rsidR="00F4715F" w:rsidRPr="001E52FE" w:rsidRDefault="00F4715F" w:rsidP="00FC2F58">
      <w:pPr>
        <w:spacing w:line="480" w:lineRule="auto"/>
        <w:ind w:left="720" w:hanging="720"/>
        <w:rPr>
          <w:rFonts w:cs="Times New Roman"/>
          <w:szCs w:val="24"/>
        </w:rPr>
      </w:pPr>
      <w:r w:rsidRPr="001E52FE">
        <w:rPr>
          <w:szCs w:val="24"/>
        </w:rPr>
        <w:t xml:space="preserve">Knudson-Martin, C. (2013). Why power matters: Creating a foundation of mutual support in </w:t>
      </w:r>
      <w:r w:rsidRPr="001E52FE">
        <w:rPr>
          <w:rFonts w:cs="Times New Roman"/>
          <w:szCs w:val="24"/>
        </w:rPr>
        <w:t xml:space="preserve">couple relationships. </w:t>
      </w:r>
      <w:r w:rsidRPr="001E52FE">
        <w:rPr>
          <w:rFonts w:cs="Times New Roman"/>
          <w:i/>
          <w:szCs w:val="24"/>
        </w:rPr>
        <w:t>Family Process, 52</w:t>
      </w:r>
      <w:r w:rsidRPr="001E52FE">
        <w:rPr>
          <w:rFonts w:cs="Times New Roman"/>
          <w:szCs w:val="24"/>
        </w:rPr>
        <w:t>, 5-18. doi: 10.1111/famp.12011</w:t>
      </w:r>
    </w:p>
    <w:p w14:paraId="684BC606" w14:textId="1274D6D4" w:rsidR="00F4715F" w:rsidRPr="001E52FE" w:rsidRDefault="00F4715F" w:rsidP="00FC2F58">
      <w:pPr>
        <w:spacing w:line="480" w:lineRule="auto"/>
        <w:ind w:left="720" w:hanging="720"/>
        <w:rPr>
          <w:szCs w:val="24"/>
        </w:rPr>
      </w:pPr>
      <w:proofErr w:type="spellStart"/>
      <w:r w:rsidRPr="001E52FE">
        <w:rPr>
          <w:szCs w:val="24"/>
        </w:rPr>
        <w:t>Lakey</w:t>
      </w:r>
      <w:proofErr w:type="spellEnd"/>
      <w:r w:rsidRPr="001E52FE">
        <w:rPr>
          <w:szCs w:val="24"/>
        </w:rPr>
        <w:t xml:space="preserve">, B., &amp; </w:t>
      </w:r>
      <w:proofErr w:type="spellStart"/>
      <w:r w:rsidRPr="001E52FE">
        <w:rPr>
          <w:szCs w:val="24"/>
        </w:rPr>
        <w:t>Orehek</w:t>
      </w:r>
      <w:proofErr w:type="spellEnd"/>
      <w:r w:rsidRPr="001E52FE">
        <w:rPr>
          <w:szCs w:val="24"/>
        </w:rPr>
        <w:t xml:space="preserve">, E. (2011). Relational regulation theory: </w:t>
      </w:r>
      <w:r w:rsidR="008130BA" w:rsidRPr="001E52FE">
        <w:rPr>
          <w:szCs w:val="24"/>
        </w:rPr>
        <w:t>A</w:t>
      </w:r>
      <w:r w:rsidRPr="001E52FE">
        <w:rPr>
          <w:szCs w:val="24"/>
        </w:rPr>
        <w:t xml:space="preserve"> new approach to explain the link between perceived social support and mental health. </w:t>
      </w:r>
      <w:r w:rsidRPr="001E52FE">
        <w:rPr>
          <w:i/>
          <w:szCs w:val="24"/>
        </w:rPr>
        <w:t>Psychological Review, 118</w:t>
      </w:r>
      <w:r w:rsidRPr="001E52FE">
        <w:rPr>
          <w:szCs w:val="24"/>
        </w:rPr>
        <w:t>, 482-495.</w:t>
      </w:r>
      <w:r w:rsidR="0099017C">
        <w:rPr>
          <w:szCs w:val="24"/>
        </w:rPr>
        <w:t xml:space="preserve"> doi: 10.1037/a0023477</w:t>
      </w:r>
    </w:p>
    <w:p w14:paraId="3DF8C147" w14:textId="411FFF80" w:rsidR="00F4715F" w:rsidRDefault="00F4715F" w:rsidP="00FC2F58">
      <w:pPr>
        <w:spacing w:line="480" w:lineRule="auto"/>
        <w:ind w:left="720" w:hanging="720"/>
        <w:rPr>
          <w:rFonts w:cs="Times New Roman"/>
          <w:szCs w:val="24"/>
        </w:rPr>
      </w:pPr>
      <w:r w:rsidRPr="001E52FE">
        <w:rPr>
          <w:rFonts w:cs="Times New Roman"/>
          <w:szCs w:val="24"/>
        </w:rPr>
        <w:t xml:space="preserve">Ledermann, T., Macho, S., &amp; Kenny, D. A. (2011). Assessing mediation in dyadic data using the actor-partner interdependence model. </w:t>
      </w:r>
      <w:r w:rsidRPr="001E52FE">
        <w:rPr>
          <w:rFonts w:cs="Times New Roman"/>
          <w:i/>
          <w:iCs/>
          <w:szCs w:val="24"/>
        </w:rPr>
        <w:t>Structural Equation Modeling: A Multidisciplinary Journal, 18</w:t>
      </w:r>
      <w:r w:rsidRPr="001E52FE">
        <w:rPr>
          <w:rFonts w:cs="Times New Roman"/>
          <w:szCs w:val="24"/>
        </w:rPr>
        <w:t>, 595-612. doi: 10.1080/10705511.2011.607099</w:t>
      </w:r>
    </w:p>
    <w:p w14:paraId="03999A8F" w14:textId="1DE6A6CA" w:rsidR="00D97BF1" w:rsidRPr="001E52FE" w:rsidRDefault="00D97BF1" w:rsidP="00FC2F58">
      <w:pPr>
        <w:spacing w:line="480" w:lineRule="auto"/>
        <w:ind w:left="720" w:hanging="720"/>
        <w:rPr>
          <w:rFonts w:cs="Times New Roman"/>
          <w:szCs w:val="24"/>
        </w:rPr>
      </w:pPr>
      <w:r w:rsidRPr="00D97BF1">
        <w:rPr>
          <w:rFonts w:cs="Times New Roman"/>
          <w:szCs w:val="24"/>
        </w:rPr>
        <w:t xml:space="preserve">MacGeorge, E. L. (2001). Support providers' interaction goals: The influence of attributions and emotions. </w:t>
      </w:r>
      <w:r w:rsidRPr="00D97BF1">
        <w:rPr>
          <w:rFonts w:cs="Times New Roman"/>
          <w:i/>
          <w:szCs w:val="24"/>
        </w:rPr>
        <w:t>Communication Monographs, 68</w:t>
      </w:r>
      <w:r w:rsidRPr="00D97BF1">
        <w:rPr>
          <w:rFonts w:cs="Times New Roman"/>
          <w:szCs w:val="24"/>
        </w:rPr>
        <w:t>, 72-97. doi:10.1080/03637750128050</w:t>
      </w:r>
    </w:p>
    <w:p w14:paraId="0B1B8641" w14:textId="77777777" w:rsidR="00F4715F" w:rsidRPr="001E52FE" w:rsidRDefault="00F4715F" w:rsidP="00FC2F58">
      <w:pPr>
        <w:pStyle w:val="EndNoteBibliography"/>
        <w:spacing w:line="480" w:lineRule="auto"/>
        <w:ind w:left="720" w:hanging="720"/>
      </w:pPr>
      <w:r w:rsidRPr="001E52FE">
        <w:t xml:space="preserve">MacGeorge, E. L., Feng, B., &amp; Burleson, B. R. (2011). Supportive communication. In M. L. Knapp &amp; J. A. Daly (Eds.), </w:t>
      </w:r>
      <w:r w:rsidRPr="001E52FE">
        <w:rPr>
          <w:i/>
        </w:rPr>
        <w:t>Handbook of interpersonal communication</w:t>
      </w:r>
      <w:r w:rsidRPr="001E52FE">
        <w:t xml:space="preserve"> (4th ed., pp. 317-354). Thousand Oaks, CA: Sage.</w:t>
      </w:r>
    </w:p>
    <w:p w14:paraId="39FA2DB3" w14:textId="77777777" w:rsidR="00F4715F" w:rsidRPr="001E52FE" w:rsidRDefault="00F4715F" w:rsidP="00FC2F58">
      <w:pPr>
        <w:pStyle w:val="EndNoteBibliography"/>
        <w:spacing w:line="480" w:lineRule="auto"/>
        <w:ind w:left="720" w:hanging="720"/>
      </w:pPr>
      <w:bookmarkStart w:id="4" w:name="_ENREF_16"/>
      <w:r w:rsidRPr="001E52FE">
        <w:t xml:space="preserve">MacGeorge, E. L., Feng, B., &amp; Guntzviller, L. M. (2016). Advice: Expanding the communication paradigm. </w:t>
      </w:r>
      <w:r w:rsidRPr="001E52FE">
        <w:rPr>
          <w:i/>
        </w:rPr>
        <w:t>Communication Yearbook, 40</w:t>
      </w:r>
      <w:r w:rsidRPr="001E52FE">
        <w:t>, 213-243. doi: 10.1080/23808985.2015.11735261</w:t>
      </w:r>
    </w:p>
    <w:bookmarkEnd w:id="4"/>
    <w:p w14:paraId="4DB80DCF" w14:textId="77777777" w:rsidR="00F4715F" w:rsidRPr="001E52FE" w:rsidRDefault="00F4715F" w:rsidP="00FC2F58">
      <w:pPr>
        <w:pStyle w:val="EndNoteBibliography"/>
        <w:spacing w:line="480" w:lineRule="auto"/>
        <w:ind w:left="720" w:hanging="720"/>
      </w:pPr>
      <w:r w:rsidRPr="001E52FE">
        <w:lastRenderedPageBreak/>
        <w:t xml:space="preserve">MacGeorge, E. L., Feng, B., Butler, G. L., &amp; Budarz, S. K. (2004). Understanding advice in supportive interactions: Beyond the facework and message evaluation paradigm. </w:t>
      </w:r>
      <w:r w:rsidRPr="001E52FE">
        <w:rPr>
          <w:i/>
        </w:rPr>
        <w:t>Human Communication Research, 30</w:t>
      </w:r>
      <w:r w:rsidRPr="001E52FE">
        <w:t>, 42-70. doi: 10.1111/j.1468-2958.2004.tb00724.x</w:t>
      </w:r>
    </w:p>
    <w:p w14:paraId="28F6999D" w14:textId="76F436D7" w:rsidR="00F4715F" w:rsidRPr="001E52FE" w:rsidRDefault="00F4715F" w:rsidP="00FC2F58">
      <w:pPr>
        <w:spacing w:line="480" w:lineRule="auto"/>
        <w:ind w:left="720" w:hanging="720"/>
        <w:rPr>
          <w:szCs w:val="24"/>
        </w:rPr>
      </w:pPr>
      <w:r w:rsidRPr="001E52FE">
        <w:rPr>
          <w:szCs w:val="24"/>
        </w:rPr>
        <w:t>MacGeorge, E. L., Guntzviller, L. M.,</w:t>
      </w:r>
      <w:r w:rsidR="00286C03" w:rsidRPr="001E52FE">
        <w:rPr>
          <w:szCs w:val="24"/>
        </w:rPr>
        <w:t xml:space="preserve"> Branch, S., &amp; Yakova, L. (2015</w:t>
      </w:r>
      <w:r w:rsidRPr="001E52FE">
        <w:rPr>
          <w:szCs w:val="24"/>
        </w:rPr>
        <w:t xml:space="preserve">). Advice in interaction: Quantity and placement of problem-solving behaviors. </w:t>
      </w:r>
      <w:r w:rsidRPr="001E52FE">
        <w:rPr>
          <w:i/>
          <w:szCs w:val="24"/>
        </w:rPr>
        <w:t>Communication Research</w:t>
      </w:r>
      <w:r w:rsidRPr="001E52FE">
        <w:rPr>
          <w:szCs w:val="24"/>
        </w:rPr>
        <w:t>. doi: 10.1177/0093650215607612</w:t>
      </w:r>
    </w:p>
    <w:p w14:paraId="176FE697" w14:textId="6D585190" w:rsidR="00286C03" w:rsidRPr="001E52FE" w:rsidRDefault="00146E73" w:rsidP="00FC2F58">
      <w:pPr>
        <w:spacing w:line="480" w:lineRule="auto"/>
        <w:ind w:left="720" w:hanging="720"/>
        <w:rPr>
          <w:szCs w:val="24"/>
        </w:rPr>
      </w:pPr>
      <w:r w:rsidRPr="001E52FE">
        <w:rPr>
          <w:szCs w:val="24"/>
        </w:rPr>
        <w:t xml:space="preserve">MacGeorge, E. L., Guntzviller, L. M., Branch, S. E., &amp; Yakova, L. (2016). Paths of resistance. </w:t>
      </w:r>
      <w:r w:rsidRPr="001E52FE">
        <w:rPr>
          <w:i/>
          <w:szCs w:val="24"/>
        </w:rPr>
        <w:t>Journal of Language and Social Psychology, 35</w:t>
      </w:r>
      <w:r w:rsidRPr="001E52FE">
        <w:rPr>
          <w:szCs w:val="24"/>
        </w:rPr>
        <w:t>, 548-568. doi:</w:t>
      </w:r>
      <w:r w:rsidR="00B20664">
        <w:rPr>
          <w:szCs w:val="24"/>
        </w:rPr>
        <w:t xml:space="preserve"> </w:t>
      </w:r>
      <w:r w:rsidRPr="001E52FE">
        <w:rPr>
          <w:szCs w:val="24"/>
        </w:rPr>
        <w:t>10.1177/0261927X15611920</w:t>
      </w:r>
      <w:r w:rsidRPr="001E52FE" w:rsidDel="00146E73">
        <w:rPr>
          <w:szCs w:val="24"/>
        </w:rPr>
        <w:t xml:space="preserve"> </w:t>
      </w:r>
    </w:p>
    <w:p w14:paraId="5746980D" w14:textId="0ED19F13" w:rsidR="00F4715F" w:rsidRPr="001E52FE" w:rsidRDefault="00F4715F" w:rsidP="00FC2F58">
      <w:pPr>
        <w:spacing w:line="480" w:lineRule="auto"/>
        <w:ind w:left="720" w:hanging="720"/>
        <w:rPr>
          <w:rFonts w:eastAsia="Calibri" w:cs="Times New Roman"/>
          <w:noProof/>
        </w:rPr>
      </w:pPr>
      <w:r w:rsidRPr="001E52FE">
        <w:rPr>
          <w:rFonts w:eastAsia="Calibri" w:cs="Times New Roman"/>
          <w:noProof/>
        </w:rPr>
        <w:t xml:space="preserve">MacGeorge, E. L., Guntzviller, L. M., Hanasono, L. K., &amp; Feng, B. (2016). Testing advice response theory in interactions with friends. </w:t>
      </w:r>
      <w:r w:rsidRPr="001E52FE">
        <w:rPr>
          <w:rFonts w:eastAsia="Calibri" w:cs="Times New Roman"/>
          <w:i/>
          <w:noProof/>
        </w:rPr>
        <w:t>Communication Research, 43</w:t>
      </w:r>
      <w:r w:rsidRPr="001E52FE">
        <w:rPr>
          <w:rFonts w:eastAsia="Calibri" w:cs="Times New Roman"/>
          <w:noProof/>
        </w:rPr>
        <w:t>, 211-231. doi: 10.1177/0093650213510938</w:t>
      </w:r>
    </w:p>
    <w:p w14:paraId="4A441F9C" w14:textId="77777777" w:rsidR="00F4715F" w:rsidRPr="001E52FE" w:rsidRDefault="00F4715F" w:rsidP="00FC2F58">
      <w:pPr>
        <w:spacing w:line="480" w:lineRule="auto"/>
        <w:ind w:left="720" w:hanging="720"/>
        <w:rPr>
          <w:rFonts w:cs="Times New Roman"/>
          <w:szCs w:val="24"/>
        </w:rPr>
      </w:pPr>
      <w:r w:rsidRPr="001E52FE">
        <w:rPr>
          <w:rFonts w:cs="Times New Roman"/>
          <w:szCs w:val="24"/>
        </w:rPr>
        <w:t xml:space="preserve">MacGeorge, E. L., Smith, R. A., Caldes, E., &amp; Hackman, N. (2016). "Watchful Waiting" for cases of pediatric otitis media: Modeling parental response to physician advice. </w:t>
      </w:r>
      <w:r w:rsidRPr="001E52FE">
        <w:rPr>
          <w:rFonts w:cs="Times New Roman"/>
          <w:i/>
          <w:iCs/>
          <w:szCs w:val="24"/>
        </w:rPr>
        <w:t>Journal of Health Communication, 21</w:t>
      </w:r>
      <w:r w:rsidRPr="001E52FE">
        <w:rPr>
          <w:rFonts w:cs="Times New Roman"/>
          <w:szCs w:val="24"/>
        </w:rPr>
        <w:t>, 919-926. doi: 10.1080/10810730.2016.1177148</w:t>
      </w:r>
    </w:p>
    <w:p w14:paraId="327D8B4D" w14:textId="77777777" w:rsidR="00F4715F" w:rsidRPr="001E52FE" w:rsidRDefault="00F4715F" w:rsidP="00FC2F58">
      <w:pPr>
        <w:spacing w:line="480" w:lineRule="auto"/>
        <w:ind w:left="720" w:hanging="720"/>
        <w:rPr>
          <w:szCs w:val="24"/>
        </w:rPr>
      </w:pPr>
      <w:r w:rsidRPr="001E52FE">
        <w:rPr>
          <w:szCs w:val="24"/>
        </w:rPr>
        <w:t xml:space="preserve">McCroskey, J. C., Richmond, V. P., &amp; Daly, J. A. (1975). The development of a measure of perceived homophily in interpersonal communication. </w:t>
      </w:r>
      <w:r w:rsidRPr="001E52FE">
        <w:rPr>
          <w:i/>
          <w:szCs w:val="24"/>
        </w:rPr>
        <w:t>Human Communication Research, 1</w:t>
      </w:r>
      <w:r w:rsidRPr="001E52FE">
        <w:rPr>
          <w:szCs w:val="24"/>
        </w:rPr>
        <w:t>, 323-332. doi: 10.1111/j.1468-</w:t>
      </w:r>
      <w:proofErr w:type="gramStart"/>
      <w:r w:rsidRPr="001E52FE">
        <w:rPr>
          <w:szCs w:val="24"/>
        </w:rPr>
        <w:t>2958.1975.tb</w:t>
      </w:r>
      <w:proofErr w:type="gramEnd"/>
      <w:r w:rsidRPr="001E52FE">
        <w:rPr>
          <w:szCs w:val="24"/>
        </w:rPr>
        <w:t>00281.x</w:t>
      </w:r>
    </w:p>
    <w:p w14:paraId="1555C478" w14:textId="29BECFED" w:rsidR="00F4715F" w:rsidRPr="001E52FE" w:rsidRDefault="00F4715F" w:rsidP="00FC2F58">
      <w:pPr>
        <w:spacing w:line="480" w:lineRule="auto"/>
        <w:ind w:left="720" w:hanging="720"/>
      </w:pPr>
      <w:r w:rsidRPr="001E52FE">
        <w:rPr>
          <w:szCs w:val="24"/>
        </w:rPr>
        <w:t>Muthén, L.</w:t>
      </w:r>
      <w:r w:rsidR="004321CA">
        <w:rPr>
          <w:szCs w:val="24"/>
        </w:rPr>
        <w:t xml:space="preserve"> </w:t>
      </w:r>
      <w:r w:rsidRPr="001E52FE">
        <w:rPr>
          <w:szCs w:val="24"/>
        </w:rPr>
        <w:t xml:space="preserve">K. </w:t>
      </w:r>
      <w:r w:rsidR="004321CA">
        <w:rPr>
          <w:szCs w:val="24"/>
        </w:rPr>
        <w:t>and Muthén, B.O. (1998-2012). MP</w:t>
      </w:r>
      <w:r w:rsidRPr="001E52FE">
        <w:rPr>
          <w:szCs w:val="24"/>
        </w:rPr>
        <w:t>lus User’s Guide. Seventh Edition. Los Angeles, CA: Muthén &amp; Muthén.</w:t>
      </w:r>
      <w:r w:rsidRPr="001E52FE">
        <w:t xml:space="preserve"> </w:t>
      </w:r>
    </w:p>
    <w:p w14:paraId="165EEB9D" w14:textId="77777777" w:rsidR="00F4715F" w:rsidRPr="001E52FE" w:rsidRDefault="00F4715F" w:rsidP="00FC2F58">
      <w:pPr>
        <w:autoSpaceDE w:val="0"/>
        <w:autoSpaceDN w:val="0"/>
        <w:adjustRightInd w:val="0"/>
        <w:spacing w:line="480" w:lineRule="auto"/>
        <w:ind w:left="720" w:hanging="720"/>
        <w:rPr>
          <w:szCs w:val="24"/>
        </w:rPr>
      </w:pPr>
      <w:r w:rsidRPr="001E52FE">
        <w:rPr>
          <w:rFonts w:cs="Times New Roman"/>
          <w:szCs w:val="24"/>
        </w:rPr>
        <w:t>Pierce, G. R. (1994). The Quality of Relationships Inventory: Assessing the interpersonal context of social support. In B. R. Burleson, T. L. Albrecht, &amp; I. G.</w:t>
      </w:r>
      <w:r w:rsidRPr="001E52FE">
        <w:rPr>
          <w:rFonts w:cs="Times New Roman"/>
          <w:i/>
          <w:iCs/>
          <w:szCs w:val="24"/>
        </w:rPr>
        <w:t xml:space="preserve"> </w:t>
      </w:r>
      <w:proofErr w:type="spellStart"/>
      <w:r w:rsidRPr="001E52FE">
        <w:rPr>
          <w:rFonts w:cs="Times New Roman"/>
          <w:szCs w:val="24"/>
        </w:rPr>
        <w:t>Sarason</w:t>
      </w:r>
      <w:proofErr w:type="spellEnd"/>
      <w:r w:rsidRPr="001E52FE">
        <w:rPr>
          <w:rFonts w:cs="Times New Roman"/>
          <w:szCs w:val="24"/>
        </w:rPr>
        <w:t xml:space="preserve"> (Eds.), </w:t>
      </w:r>
      <w:r w:rsidRPr="001E52FE">
        <w:rPr>
          <w:rFonts w:cs="Times New Roman"/>
          <w:i/>
          <w:iCs/>
          <w:szCs w:val="24"/>
        </w:rPr>
        <w:lastRenderedPageBreak/>
        <w:t xml:space="preserve">Communication of social support: Messages, interactions, relationships, and community </w:t>
      </w:r>
      <w:r w:rsidRPr="001E52FE">
        <w:rPr>
          <w:rFonts w:cs="Times New Roman"/>
          <w:iCs/>
          <w:szCs w:val="24"/>
        </w:rPr>
        <w:t>(pp.</w:t>
      </w:r>
      <w:r w:rsidRPr="001E52FE">
        <w:rPr>
          <w:rFonts w:cs="Times New Roman"/>
          <w:i/>
          <w:iCs/>
          <w:szCs w:val="24"/>
        </w:rPr>
        <w:t xml:space="preserve"> </w:t>
      </w:r>
      <w:r w:rsidRPr="001E52FE">
        <w:rPr>
          <w:rFonts w:cs="Times New Roman"/>
          <w:szCs w:val="24"/>
        </w:rPr>
        <w:t>247-264). Thousand Oaks, CA: Sage.</w:t>
      </w:r>
    </w:p>
    <w:p w14:paraId="5281AC78" w14:textId="77777777" w:rsidR="00F4715F" w:rsidRPr="001E52FE" w:rsidRDefault="00F4715F" w:rsidP="00FC2F58">
      <w:pPr>
        <w:spacing w:line="480" w:lineRule="auto"/>
        <w:ind w:left="720" w:hanging="720"/>
        <w:rPr>
          <w:szCs w:val="24"/>
        </w:rPr>
      </w:pPr>
      <w:r w:rsidRPr="001E52FE">
        <w:rPr>
          <w:szCs w:val="24"/>
        </w:rPr>
        <w:t xml:space="preserve">Priem, J. S., &amp; Solomon, D. H. (2015). What is supportive about supportive conversation? Qualities of interaction that predict emotional and physiological outcomes. </w:t>
      </w:r>
      <w:r w:rsidRPr="001E52FE">
        <w:rPr>
          <w:i/>
          <w:szCs w:val="24"/>
        </w:rPr>
        <w:t>Communication Research</w:t>
      </w:r>
      <w:r w:rsidRPr="001E52FE">
        <w:rPr>
          <w:szCs w:val="24"/>
        </w:rPr>
        <w:t>. doi: 10.1177/0093650215595074</w:t>
      </w:r>
    </w:p>
    <w:p w14:paraId="53C2478B" w14:textId="77777777" w:rsidR="00F4715F" w:rsidRPr="001E52FE" w:rsidRDefault="00F4715F" w:rsidP="00FC2F58">
      <w:pPr>
        <w:spacing w:line="480" w:lineRule="auto"/>
        <w:ind w:left="720" w:hanging="720"/>
        <w:rPr>
          <w:szCs w:val="24"/>
        </w:rPr>
      </w:pPr>
      <w:r w:rsidRPr="001E52FE">
        <w:rPr>
          <w:szCs w:val="24"/>
        </w:rPr>
        <w:t xml:space="preserve">Priem, J. S., Solomon, D. H., &amp; Steuber, K. R. (2009). Accuracy and bias in perceptions of emotionally supportive communication in marriage. </w:t>
      </w:r>
      <w:r w:rsidRPr="001E52FE">
        <w:rPr>
          <w:i/>
          <w:szCs w:val="24"/>
        </w:rPr>
        <w:t>Personal Relationships, 16,</w:t>
      </w:r>
      <w:r w:rsidRPr="001E52FE">
        <w:rPr>
          <w:szCs w:val="24"/>
        </w:rPr>
        <w:t xml:space="preserve"> 531-552. doi: 10.1111/j.1475-6811.</w:t>
      </w:r>
      <w:proofErr w:type="gramStart"/>
      <w:r w:rsidRPr="001E52FE">
        <w:rPr>
          <w:szCs w:val="24"/>
        </w:rPr>
        <w:t>2009.01238.x</w:t>
      </w:r>
      <w:proofErr w:type="gramEnd"/>
    </w:p>
    <w:p w14:paraId="2007D676" w14:textId="77777777" w:rsidR="00F4715F" w:rsidRPr="001E52FE" w:rsidRDefault="00F4715F" w:rsidP="00FC2F58">
      <w:pPr>
        <w:spacing w:line="480" w:lineRule="auto"/>
        <w:ind w:left="720" w:hanging="720"/>
        <w:rPr>
          <w:szCs w:val="24"/>
        </w:rPr>
      </w:pPr>
      <w:r w:rsidRPr="001E52FE">
        <w:rPr>
          <w:szCs w:val="24"/>
        </w:rPr>
        <w:t xml:space="preserve">Rubin, Z. (1970). Measurement of romantic love. </w:t>
      </w:r>
      <w:r w:rsidRPr="001E52FE">
        <w:rPr>
          <w:i/>
          <w:szCs w:val="24"/>
        </w:rPr>
        <w:t>Journal of Personality and Social Psychology, 16</w:t>
      </w:r>
      <w:r w:rsidRPr="001E52FE">
        <w:rPr>
          <w:szCs w:val="24"/>
        </w:rPr>
        <w:t>, 265-273. doi: 10.1037/h0029841</w:t>
      </w:r>
    </w:p>
    <w:p w14:paraId="67BB3000" w14:textId="77777777" w:rsidR="00F4715F" w:rsidRPr="001E52FE" w:rsidRDefault="00F4715F" w:rsidP="00FC2F58">
      <w:pPr>
        <w:spacing w:line="480" w:lineRule="auto"/>
        <w:ind w:left="720" w:hanging="720"/>
        <w:rPr>
          <w:szCs w:val="24"/>
        </w:rPr>
      </w:pPr>
      <w:r w:rsidRPr="001E52FE">
        <w:rPr>
          <w:szCs w:val="24"/>
        </w:rPr>
        <w:t xml:space="preserve">Shi, X. (2013). Cognitive responses in advice planning: An examination of thought content and its impact on message features under high versus low effortful thinking modes. Journal of </w:t>
      </w:r>
      <w:r w:rsidRPr="001E52FE">
        <w:rPr>
          <w:i/>
          <w:szCs w:val="24"/>
        </w:rPr>
        <w:t>Language and Social Psychology, 32</w:t>
      </w:r>
      <w:r w:rsidRPr="001E52FE">
        <w:rPr>
          <w:szCs w:val="24"/>
        </w:rPr>
        <w:t>, 311-334. doi: 10.1177/0261927x12470112</w:t>
      </w:r>
    </w:p>
    <w:p w14:paraId="132D669D" w14:textId="361F0E92" w:rsidR="00F4715F" w:rsidRPr="001E52FE" w:rsidRDefault="00F4715F" w:rsidP="00FC2F58">
      <w:pPr>
        <w:spacing w:line="480" w:lineRule="auto"/>
        <w:ind w:left="720" w:hanging="720"/>
        <w:rPr>
          <w:szCs w:val="24"/>
        </w:rPr>
      </w:pPr>
      <w:r w:rsidRPr="001E52FE">
        <w:rPr>
          <w:szCs w:val="24"/>
        </w:rPr>
        <w:t xml:space="preserve">Solomon, D. H., &amp; Knobloch, L. K. (2001). Relationship uncertainty, partner interference, and intimacy in dating relationships. </w:t>
      </w:r>
      <w:r w:rsidRPr="001E52FE">
        <w:rPr>
          <w:i/>
          <w:szCs w:val="24"/>
        </w:rPr>
        <w:t>Journal of Social and Personal Relationships, 18</w:t>
      </w:r>
      <w:r w:rsidRPr="001E52FE">
        <w:rPr>
          <w:szCs w:val="24"/>
        </w:rPr>
        <w:t>, 804–820.</w:t>
      </w:r>
      <w:r w:rsidR="00486FFC">
        <w:rPr>
          <w:szCs w:val="24"/>
        </w:rPr>
        <w:t xml:space="preserve"> doi: </w:t>
      </w:r>
      <w:r w:rsidR="00486FFC" w:rsidRPr="00486FFC">
        <w:rPr>
          <w:szCs w:val="24"/>
        </w:rPr>
        <w:t>10.1177/0265407501186004</w:t>
      </w:r>
    </w:p>
    <w:p w14:paraId="3297535F" w14:textId="77777777" w:rsidR="006A19B7" w:rsidRPr="001E52FE" w:rsidRDefault="006A19B7" w:rsidP="00FC2F58">
      <w:pPr>
        <w:spacing w:line="480" w:lineRule="auto"/>
        <w:ind w:left="720" w:hanging="720"/>
        <w:rPr>
          <w:szCs w:val="24"/>
        </w:rPr>
      </w:pPr>
      <w:r w:rsidRPr="001E52FE">
        <w:rPr>
          <w:szCs w:val="24"/>
        </w:rPr>
        <w:t xml:space="preserve">Solomon, D. H., Knobloch, L. K., Theiss, J. A., &amp; McLaren, R. M. (2016). Relational turbulence theory: Explaining variation in subjective experiences and communication within romantic relationships. </w:t>
      </w:r>
      <w:r w:rsidRPr="001E52FE">
        <w:rPr>
          <w:i/>
          <w:szCs w:val="24"/>
        </w:rPr>
        <w:t>Human Communication Research, 42</w:t>
      </w:r>
      <w:r w:rsidRPr="001E52FE">
        <w:rPr>
          <w:szCs w:val="24"/>
        </w:rPr>
        <w:t xml:space="preserve">, 507-532. doi:10.1111/hcre.12091 </w:t>
      </w:r>
    </w:p>
    <w:p w14:paraId="07EF17B3" w14:textId="15E3B8A1" w:rsidR="00F4715F" w:rsidRPr="001E52FE" w:rsidRDefault="00F4715F" w:rsidP="00FC2F58">
      <w:pPr>
        <w:spacing w:line="480" w:lineRule="auto"/>
        <w:ind w:left="720" w:hanging="720"/>
        <w:rPr>
          <w:szCs w:val="24"/>
        </w:rPr>
      </w:pPr>
      <w:r w:rsidRPr="001E52FE">
        <w:rPr>
          <w:szCs w:val="24"/>
        </w:rPr>
        <w:t xml:space="preserve">Spitzmuller, M., &amp; Van Dyne, L. (2013). Proactive and reactive helping: Contrasting the positive consequences of different forms of helping. </w:t>
      </w:r>
      <w:r w:rsidRPr="001E52FE">
        <w:rPr>
          <w:i/>
          <w:szCs w:val="24"/>
        </w:rPr>
        <w:t>Journal</w:t>
      </w:r>
      <w:r w:rsidR="00B02AA3" w:rsidRPr="001E52FE">
        <w:rPr>
          <w:i/>
          <w:szCs w:val="24"/>
        </w:rPr>
        <w:t xml:space="preserve"> of Organizational Behavior, 34</w:t>
      </w:r>
      <w:r w:rsidRPr="001E52FE">
        <w:rPr>
          <w:szCs w:val="24"/>
        </w:rPr>
        <w:t>, 560-580. doi: 10.1002/job.1848</w:t>
      </w:r>
    </w:p>
    <w:p w14:paraId="7A6CF2A9" w14:textId="77777777" w:rsidR="00F4715F" w:rsidRPr="001E52FE" w:rsidRDefault="00F4715F" w:rsidP="00FC2F58">
      <w:pPr>
        <w:spacing w:line="480" w:lineRule="auto"/>
        <w:ind w:left="720" w:hanging="720"/>
        <w:rPr>
          <w:szCs w:val="24"/>
        </w:rPr>
      </w:pPr>
      <w:r w:rsidRPr="001E52FE">
        <w:rPr>
          <w:szCs w:val="24"/>
        </w:rPr>
        <w:lastRenderedPageBreak/>
        <w:t xml:space="preserve">Thoits, P. A. (2011). Mechanisms linking social ties and support to physical and mental health. </w:t>
      </w:r>
      <w:r w:rsidRPr="001E52FE">
        <w:rPr>
          <w:i/>
          <w:szCs w:val="24"/>
        </w:rPr>
        <w:t>Journal of Health and Social Behavior, 52</w:t>
      </w:r>
      <w:r w:rsidRPr="001E52FE">
        <w:rPr>
          <w:szCs w:val="24"/>
        </w:rPr>
        <w:t>, 145-161. doi: 10.1177/0022146510395592</w:t>
      </w:r>
    </w:p>
    <w:p w14:paraId="40A625EB" w14:textId="6D4B9A5A" w:rsidR="00F4715F" w:rsidRPr="001E52FE" w:rsidRDefault="00F4715F" w:rsidP="00FC2F58">
      <w:pPr>
        <w:spacing w:line="480" w:lineRule="auto"/>
        <w:ind w:left="720" w:hanging="720"/>
        <w:rPr>
          <w:szCs w:val="24"/>
        </w:rPr>
      </w:pPr>
      <w:r w:rsidRPr="001E52FE">
        <w:rPr>
          <w:szCs w:val="24"/>
        </w:rPr>
        <w:t xml:space="preserve">Van Swol, L. M. (2011). Forecasting another’s enjoyment versus giving the right answer: Trust, shared values, task effects, and confidence in improving the acceptance of advice. </w:t>
      </w:r>
      <w:r w:rsidRPr="001E52FE">
        <w:rPr>
          <w:i/>
          <w:szCs w:val="24"/>
        </w:rPr>
        <w:t>International Journal of Forecasting, 27</w:t>
      </w:r>
      <w:r w:rsidRPr="001E52FE">
        <w:rPr>
          <w:szCs w:val="24"/>
        </w:rPr>
        <w:t>, 103-120. doi: 10.1016/j.ijforecast.2010.03.002</w:t>
      </w:r>
    </w:p>
    <w:p w14:paraId="41099132" w14:textId="77777777" w:rsidR="00F4715F" w:rsidRPr="001E52FE" w:rsidRDefault="00F4715F" w:rsidP="00FC2F58">
      <w:pPr>
        <w:spacing w:line="480" w:lineRule="auto"/>
        <w:ind w:left="720" w:hanging="720"/>
        <w:rPr>
          <w:szCs w:val="24"/>
        </w:rPr>
      </w:pPr>
      <w:r w:rsidRPr="001E52FE">
        <w:rPr>
          <w:szCs w:val="24"/>
        </w:rPr>
        <w:t xml:space="preserve">Wheeless, L. R., &amp; Grotz, J. (1977). The measurement of trust and its relationship to </w:t>
      </w:r>
      <w:proofErr w:type="spellStart"/>
      <w:r w:rsidRPr="001E52FE">
        <w:rPr>
          <w:szCs w:val="24"/>
        </w:rPr>
        <w:t>self disclosure</w:t>
      </w:r>
      <w:proofErr w:type="spellEnd"/>
      <w:r w:rsidRPr="001E52FE">
        <w:rPr>
          <w:szCs w:val="24"/>
        </w:rPr>
        <w:t xml:space="preserve">. </w:t>
      </w:r>
      <w:r w:rsidRPr="001E52FE">
        <w:rPr>
          <w:i/>
          <w:szCs w:val="24"/>
        </w:rPr>
        <w:t>Human Communication Research, 3</w:t>
      </w:r>
      <w:r w:rsidRPr="001E52FE">
        <w:rPr>
          <w:szCs w:val="24"/>
        </w:rPr>
        <w:t>, 250-257. doi: 10.1111/j.1468-</w:t>
      </w:r>
      <w:proofErr w:type="gramStart"/>
      <w:r w:rsidRPr="001E52FE">
        <w:rPr>
          <w:szCs w:val="24"/>
        </w:rPr>
        <w:t>2958.1977.tb</w:t>
      </w:r>
      <w:proofErr w:type="gramEnd"/>
      <w:r w:rsidRPr="001E52FE">
        <w:rPr>
          <w:szCs w:val="24"/>
        </w:rPr>
        <w:t>00523.x</w:t>
      </w:r>
    </w:p>
    <w:p w14:paraId="2714096D" w14:textId="04748183" w:rsidR="00F4715F" w:rsidRPr="001E52FE" w:rsidRDefault="00F4715F" w:rsidP="00FC2F58">
      <w:pPr>
        <w:spacing w:line="480" w:lineRule="auto"/>
        <w:ind w:left="720" w:hanging="720"/>
        <w:rPr>
          <w:rFonts w:cs="Times New Roman"/>
          <w:szCs w:val="24"/>
        </w:rPr>
      </w:pPr>
      <w:r w:rsidRPr="001E52FE">
        <w:rPr>
          <w:rFonts w:cs="Times New Roman"/>
          <w:color w:val="000000"/>
          <w:szCs w:val="24"/>
        </w:rPr>
        <w:t>Wilson</w:t>
      </w:r>
      <w:r w:rsidRPr="001E52FE">
        <w:rPr>
          <w:rFonts w:cs="Times New Roman"/>
          <w:szCs w:val="24"/>
        </w:rPr>
        <w:t>, S. R., Aleman, C. G., &amp; Leatham, G. B. (1998). Identity i</w:t>
      </w:r>
      <w:r w:rsidR="00DD3A37" w:rsidRPr="001E52FE">
        <w:rPr>
          <w:rFonts w:cs="Times New Roman"/>
          <w:szCs w:val="24"/>
        </w:rPr>
        <w:t>mplications of influence goals:</w:t>
      </w:r>
      <w:r w:rsidRPr="001E52FE">
        <w:rPr>
          <w:rFonts w:cs="Times New Roman"/>
          <w:szCs w:val="24"/>
        </w:rPr>
        <w:t xml:space="preserve"> </w:t>
      </w:r>
      <w:r w:rsidR="00DD3A37" w:rsidRPr="001E52FE">
        <w:rPr>
          <w:rFonts w:cs="Times New Roman"/>
          <w:szCs w:val="24"/>
        </w:rPr>
        <w:t>A</w:t>
      </w:r>
      <w:r w:rsidRPr="001E52FE">
        <w:rPr>
          <w:rFonts w:cs="Times New Roman"/>
          <w:szCs w:val="24"/>
        </w:rPr>
        <w:t xml:space="preserve"> revised analysis of face-threatening acts and application to seeking compliance with same-sex friends. </w:t>
      </w:r>
      <w:r w:rsidRPr="001E52FE">
        <w:rPr>
          <w:rFonts w:cs="Times New Roman"/>
          <w:i/>
          <w:iCs/>
          <w:szCs w:val="24"/>
        </w:rPr>
        <w:t>Human Communication Research, 25</w:t>
      </w:r>
      <w:r w:rsidRPr="001E52FE">
        <w:rPr>
          <w:rFonts w:cs="Times New Roman"/>
          <w:szCs w:val="24"/>
        </w:rPr>
        <w:t>, 64-96.</w:t>
      </w:r>
      <w:r w:rsidR="00BA46D4">
        <w:rPr>
          <w:rFonts w:cs="Times New Roman"/>
          <w:szCs w:val="24"/>
        </w:rPr>
        <w:t xml:space="preserve"> doi: </w:t>
      </w:r>
      <w:r w:rsidR="00BA46D4" w:rsidRPr="00BA46D4">
        <w:rPr>
          <w:rFonts w:cs="Times New Roman"/>
          <w:szCs w:val="24"/>
        </w:rPr>
        <w:t>10.1111/j.1468-</w:t>
      </w:r>
      <w:proofErr w:type="gramStart"/>
      <w:r w:rsidR="00BA46D4" w:rsidRPr="00BA46D4">
        <w:rPr>
          <w:rFonts w:cs="Times New Roman"/>
          <w:szCs w:val="24"/>
        </w:rPr>
        <w:t>2958.1998.tb</w:t>
      </w:r>
      <w:proofErr w:type="gramEnd"/>
      <w:r w:rsidR="00BA46D4" w:rsidRPr="00BA46D4">
        <w:rPr>
          <w:rFonts w:cs="Times New Roman"/>
          <w:szCs w:val="24"/>
        </w:rPr>
        <w:t>00437.x</w:t>
      </w:r>
    </w:p>
    <w:p w14:paraId="46BA6168" w14:textId="46AC61DF" w:rsidR="00F4715F" w:rsidRPr="001E52FE" w:rsidRDefault="00F4715F" w:rsidP="00FC2F58">
      <w:pPr>
        <w:spacing w:line="480" w:lineRule="auto"/>
        <w:ind w:left="720" w:hanging="720"/>
        <w:rPr>
          <w:szCs w:val="24"/>
        </w:rPr>
      </w:pPr>
      <w:r w:rsidRPr="001E52FE">
        <w:rPr>
          <w:szCs w:val="24"/>
        </w:rPr>
        <w:t>Xu, Y., &amp; Burleson, B. R. (2001). Effects of sex, culture, and support type on percept</w:t>
      </w:r>
      <w:r w:rsidR="008868F6">
        <w:rPr>
          <w:szCs w:val="24"/>
        </w:rPr>
        <w:t>ions of spousal social support:</w:t>
      </w:r>
      <w:r w:rsidRPr="001E52FE">
        <w:rPr>
          <w:szCs w:val="24"/>
        </w:rPr>
        <w:t xml:space="preserve"> An assessment of the "support gap" hypothesis in early marriage. </w:t>
      </w:r>
      <w:r w:rsidRPr="001E52FE">
        <w:rPr>
          <w:i/>
          <w:iCs/>
          <w:szCs w:val="24"/>
        </w:rPr>
        <w:t>Human Communication Research, 27</w:t>
      </w:r>
      <w:r w:rsidRPr="001E52FE">
        <w:rPr>
          <w:szCs w:val="24"/>
        </w:rPr>
        <w:t>, 535-566.</w:t>
      </w:r>
      <w:r w:rsidR="008868F6">
        <w:rPr>
          <w:szCs w:val="24"/>
        </w:rPr>
        <w:t xml:space="preserve"> doi: </w:t>
      </w:r>
      <w:r w:rsidR="008868F6" w:rsidRPr="008868F6">
        <w:rPr>
          <w:szCs w:val="24"/>
        </w:rPr>
        <w:t>10.1111/j.1468-</w:t>
      </w:r>
      <w:proofErr w:type="gramStart"/>
      <w:r w:rsidR="008868F6" w:rsidRPr="008868F6">
        <w:rPr>
          <w:szCs w:val="24"/>
        </w:rPr>
        <w:t>2958.2001.tb</w:t>
      </w:r>
      <w:proofErr w:type="gramEnd"/>
      <w:r w:rsidR="008868F6" w:rsidRPr="008868F6">
        <w:rPr>
          <w:szCs w:val="24"/>
        </w:rPr>
        <w:t>00792.x</w:t>
      </w:r>
    </w:p>
    <w:p w14:paraId="77379F34" w14:textId="77777777" w:rsidR="00F4715F" w:rsidRPr="001E52FE" w:rsidRDefault="00F4715F" w:rsidP="00FC2F58">
      <w:pPr>
        <w:spacing w:line="480" w:lineRule="auto"/>
        <w:ind w:left="720" w:hanging="720"/>
        <w:rPr>
          <w:rFonts w:cs="Times New Roman"/>
          <w:szCs w:val="24"/>
        </w:rPr>
      </w:pPr>
      <w:r w:rsidRPr="001E52FE">
        <w:rPr>
          <w:rFonts w:cs="Times New Roman"/>
          <w:color w:val="000000"/>
          <w:szCs w:val="24"/>
        </w:rPr>
        <w:t>Young</w:t>
      </w:r>
      <w:r w:rsidRPr="001E52FE">
        <w:rPr>
          <w:rFonts w:cs="Times New Roman"/>
          <w:szCs w:val="24"/>
        </w:rPr>
        <w:t xml:space="preserve">, S. L. (2004). Factors that influence recipients’ appraisals of hurtful communication. </w:t>
      </w:r>
      <w:r w:rsidRPr="001E52FE">
        <w:rPr>
          <w:rFonts w:cs="Times New Roman"/>
          <w:i/>
          <w:iCs/>
          <w:szCs w:val="24"/>
        </w:rPr>
        <w:t>Journal of Social and Personal Relationships, 21</w:t>
      </w:r>
      <w:r w:rsidRPr="001E52FE">
        <w:rPr>
          <w:rFonts w:cs="Times New Roman"/>
          <w:szCs w:val="24"/>
        </w:rPr>
        <w:t>, 291-303. doi: doi:10.1177/0265407504042833</w:t>
      </w:r>
    </w:p>
    <w:p w14:paraId="2BE39896" w14:textId="001AB713" w:rsidR="00F4715F" w:rsidRPr="001E52FE" w:rsidRDefault="00F4715F" w:rsidP="00FC2F58">
      <w:pPr>
        <w:spacing w:line="480" w:lineRule="auto"/>
        <w:ind w:left="720" w:hanging="720"/>
        <w:rPr>
          <w:rFonts w:cs="Times New Roman"/>
          <w:szCs w:val="24"/>
        </w:rPr>
        <w:sectPr w:rsidR="00F4715F" w:rsidRPr="001E52FE" w:rsidSect="00535F9D">
          <w:headerReference w:type="default" r:id="rId8"/>
          <w:headerReference w:type="first" r:id="rId9"/>
          <w:pgSz w:w="12240" w:h="15840"/>
          <w:pgMar w:top="1440" w:right="1440" w:bottom="1440" w:left="1440" w:header="720" w:footer="720" w:gutter="0"/>
          <w:cols w:space="720"/>
          <w:titlePg/>
          <w:docGrid w:linePitch="360"/>
        </w:sectPr>
      </w:pPr>
      <w:r w:rsidRPr="001E52FE">
        <w:rPr>
          <w:rFonts w:cs="Times New Roman"/>
          <w:szCs w:val="24"/>
        </w:rPr>
        <w:t xml:space="preserve">Zhang, S., &amp; Stafford, L. (2008). Perceived face threat of honest but hurtful evaluative messages in romantic relationships. </w:t>
      </w:r>
      <w:r w:rsidRPr="001E52FE">
        <w:rPr>
          <w:rFonts w:cs="Times New Roman"/>
          <w:i/>
          <w:iCs/>
          <w:szCs w:val="24"/>
        </w:rPr>
        <w:t>Western Journal of Communication, 72</w:t>
      </w:r>
      <w:r w:rsidRPr="001E52FE">
        <w:rPr>
          <w:rFonts w:cs="Times New Roman"/>
          <w:szCs w:val="24"/>
        </w:rPr>
        <w:t>, 19-39. doi: 10.1080/10570310701828628</w:t>
      </w:r>
    </w:p>
    <w:p w14:paraId="55616E5C" w14:textId="77777777" w:rsidR="00C522E7" w:rsidRPr="001E52FE" w:rsidRDefault="00C522E7" w:rsidP="00C522E7">
      <w:pPr>
        <w:rPr>
          <w:szCs w:val="24"/>
        </w:rPr>
      </w:pPr>
      <w:r w:rsidRPr="001E52FE">
        <w:rPr>
          <w:szCs w:val="24"/>
        </w:rPr>
        <w:lastRenderedPageBreak/>
        <w:t>Table 1</w:t>
      </w:r>
    </w:p>
    <w:p w14:paraId="15D39E49" w14:textId="77777777" w:rsidR="00C522E7" w:rsidRPr="001E52FE" w:rsidRDefault="00C522E7" w:rsidP="00C522E7">
      <w:pPr>
        <w:rPr>
          <w:szCs w:val="24"/>
        </w:rPr>
      </w:pPr>
      <w:r w:rsidRPr="001E52FE">
        <w:rPr>
          <w:szCs w:val="24"/>
        </w:rPr>
        <w:t>Goodness of Fit Statistics</w:t>
      </w:r>
    </w:p>
    <w:tbl>
      <w:tblPr>
        <w:tblW w:w="9842" w:type="dxa"/>
        <w:tblLook w:val="04A0" w:firstRow="1" w:lastRow="0" w:firstColumn="1" w:lastColumn="0" w:noHBand="0" w:noVBand="1"/>
      </w:tblPr>
      <w:tblGrid>
        <w:gridCol w:w="2790"/>
        <w:gridCol w:w="1080"/>
        <w:gridCol w:w="860"/>
        <w:gridCol w:w="436"/>
        <w:gridCol w:w="900"/>
        <w:gridCol w:w="974"/>
        <w:gridCol w:w="1380"/>
        <w:gridCol w:w="711"/>
        <w:gridCol w:w="711"/>
      </w:tblGrid>
      <w:tr w:rsidR="00357562" w:rsidRPr="001E52FE" w14:paraId="40695591" w14:textId="77777777" w:rsidTr="00357562">
        <w:trPr>
          <w:trHeight w:val="380"/>
        </w:trPr>
        <w:tc>
          <w:tcPr>
            <w:tcW w:w="2790" w:type="dxa"/>
            <w:tcBorders>
              <w:top w:val="single" w:sz="4" w:space="0" w:color="auto"/>
              <w:left w:val="nil"/>
              <w:bottom w:val="nil"/>
              <w:right w:val="nil"/>
            </w:tcBorders>
            <w:shd w:val="clear" w:color="auto" w:fill="auto"/>
            <w:noWrap/>
            <w:vAlign w:val="bottom"/>
            <w:hideMark/>
          </w:tcPr>
          <w:p w14:paraId="726C0858" w14:textId="77777777" w:rsidR="00357562" w:rsidRPr="001E52FE" w:rsidRDefault="00357562" w:rsidP="00D00F29">
            <w:pPr>
              <w:rPr>
                <w:rFonts w:eastAsia="Times New Roman" w:cs="Times New Roman"/>
                <w:sz w:val="22"/>
              </w:rPr>
            </w:pPr>
          </w:p>
        </w:tc>
        <w:tc>
          <w:tcPr>
            <w:tcW w:w="1080" w:type="dxa"/>
            <w:tcBorders>
              <w:top w:val="single" w:sz="4" w:space="0" w:color="auto"/>
              <w:left w:val="nil"/>
              <w:bottom w:val="single" w:sz="8" w:space="0" w:color="auto"/>
              <w:right w:val="nil"/>
            </w:tcBorders>
          </w:tcPr>
          <w:p w14:paraId="35891028" w14:textId="77777777" w:rsidR="00357562" w:rsidRPr="001E52FE" w:rsidRDefault="00357562" w:rsidP="00D00F29">
            <w:pPr>
              <w:rPr>
                <w:rFonts w:eastAsia="Times New Roman" w:cs="Times New Roman"/>
                <w:i/>
                <w:iCs/>
                <w:color w:val="000000"/>
                <w:sz w:val="22"/>
              </w:rPr>
            </w:pPr>
          </w:p>
        </w:tc>
        <w:tc>
          <w:tcPr>
            <w:tcW w:w="860" w:type="dxa"/>
            <w:tcBorders>
              <w:top w:val="single" w:sz="4" w:space="0" w:color="auto"/>
              <w:left w:val="nil"/>
              <w:bottom w:val="single" w:sz="8" w:space="0" w:color="auto"/>
              <w:right w:val="nil"/>
            </w:tcBorders>
            <w:shd w:val="clear" w:color="auto" w:fill="auto"/>
            <w:noWrap/>
            <w:vAlign w:val="center"/>
            <w:hideMark/>
          </w:tcPr>
          <w:p w14:paraId="663D8F7E" w14:textId="77777777" w:rsidR="00357562" w:rsidRPr="001E52FE" w:rsidRDefault="00357562" w:rsidP="00D00F29">
            <w:pPr>
              <w:rPr>
                <w:rFonts w:eastAsia="Times New Roman" w:cs="Times New Roman"/>
                <w:i/>
                <w:iCs/>
                <w:color w:val="000000"/>
                <w:sz w:val="22"/>
              </w:rPr>
            </w:pPr>
            <w:r w:rsidRPr="001E52FE">
              <w:rPr>
                <w:rFonts w:eastAsia="Times New Roman" w:cs="Times New Roman"/>
                <w:i/>
                <w:iCs/>
                <w:color w:val="000000"/>
                <w:sz w:val="22"/>
              </w:rPr>
              <w:t>Χ</w:t>
            </w:r>
            <w:r w:rsidRPr="001E52FE">
              <w:rPr>
                <w:rFonts w:eastAsia="Times New Roman" w:cs="Times New Roman"/>
                <w:i/>
                <w:iCs/>
                <w:color w:val="000000"/>
                <w:sz w:val="22"/>
                <w:vertAlign w:val="superscript"/>
              </w:rPr>
              <w:t>2</w:t>
            </w:r>
          </w:p>
        </w:tc>
        <w:tc>
          <w:tcPr>
            <w:tcW w:w="436" w:type="dxa"/>
            <w:tcBorders>
              <w:top w:val="single" w:sz="4" w:space="0" w:color="auto"/>
              <w:left w:val="nil"/>
              <w:bottom w:val="single" w:sz="8" w:space="0" w:color="auto"/>
              <w:right w:val="nil"/>
            </w:tcBorders>
            <w:shd w:val="clear" w:color="auto" w:fill="auto"/>
            <w:noWrap/>
            <w:vAlign w:val="center"/>
            <w:hideMark/>
          </w:tcPr>
          <w:p w14:paraId="62B6C11E" w14:textId="77777777" w:rsidR="00357562" w:rsidRPr="001E52FE" w:rsidRDefault="00357562" w:rsidP="00D00F29">
            <w:pPr>
              <w:rPr>
                <w:rFonts w:eastAsia="Times New Roman" w:cs="Times New Roman"/>
                <w:i/>
                <w:iCs/>
                <w:color w:val="000000"/>
                <w:sz w:val="22"/>
              </w:rPr>
            </w:pPr>
            <w:r w:rsidRPr="001E52FE">
              <w:rPr>
                <w:rFonts w:eastAsia="Times New Roman" w:cs="Times New Roman"/>
                <w:i/>
                <w:iCs/>
                <w:color w:val="000000"/>
                <w:sz w:val="22"/>
              </w:rPr>
              <w:t>df</w:t>
            </w:r>
          </w:p>
        </w:tc>
        <w:tc>
          <w:tcPr>
            <w:tcW w:w="900" w:type="dxa"/>
            <w:tcBorders>
              <w:top w:val="single" w:sz="4" w:space="0" w:color="auto"/>
              <w:left w:val="nil"/>
              <w:bottom w:val="single" w:sz="8" w:space="0" w:color="auto"/>
              <w:right w:val="nil"/>
            </w:tcBorders>
            <w:shd w:val="clear" w:color="auto" w:fill="auto"/>
            <w:noWrap/>
            <w:vAlign w:val="center"/>
            <w:hideMark/>
          </w:tcPr>
          <w:p w14:paraId="181B8EC4" w14:textId="77777777" w:rsidR="00357562" w:rsidRPr="001E52FE" w:rsidRDefault="00357562" w:rsidP="00423B0E">
            <w:pPr>
              <w:jc w:val="right"/>
              <w:rPr>
                <w:rFonts w:eastAsia="Times New Roman" w:cs="Times New Roman"/>
                <w:i/>
                <w:iCs/>
                <w:color w:val="000000"/>
                <w:sz w:val="22"/>
              </w:rPr>
            </w:pPr>
            <w:r w:rsidRPr="001E52FE">
              <w:rPr>
                <w:rFonts w:eastAsia="Times New Roman" w:cs="Times New Roman"/>
                <w:i/>
                <w:iCs/>
                <w:color w:val="000000"/>
                <w:sz w:val="22"/>
              </w:rPr>
              <w:t>p</w:t>
            </w:r>
          </w:p>
        </w:tc>
        <w:tc>
          <w:tcPr>
            <w:tcW w:w="974" w:type="dxa"/>
            <w:tcBorders>
              <w:top w:val="single" w:sz="4" w:space="0" w:color="auto"/>
              <w:left w:val="nil"/>
              <w:bottom w:val="single" w:sz="8" w:space="0" w:color="auto"/>
              <w:right w:val="nil"/>
            </w:tcBorders>
            <w:shd w:val="clear" w:color="auto" w:fill="auto"/>
            <w:noWrap/>
            <w:vAlign w:val="center"/>
            <w:hideMark/>
          </w:tcPr>
          <w:p w14:paraId="7440BA22" w14:textId="77777777" w:rsidR="00357562" w:rsidRPr="001E52FE" w:rsidRDefault="00357562" w:rsidP="00D00F29">
            <w:pPr>
              <w:rPr>
                <w:rFonts w:eastAsia="Times New Roman" w:cs="Times New Roman"/>
                <w:color w:val="000000"/>
                <w:sz w:val="22"/>
              </w:rPr>
            </w:pPr>
            <w:r w:rsidRPr="001E52FE">
              <w:rPr>
                <w:rFonts w:eastAsia="Times New Roman" w:cs="Times New Roman"/>
                <w:color w:val="000000"/>
                <w:sz w:val="22"/>
              </w:rPr>
              <w:t>RMSEA</w:t>
            </w:r>
          </w:p>
        </w:tc>
        <w:tc>
          <w:tcPr>
            <w:tcW w:w="1380" w:type="dxa"/>
            <w:tcBorders>
              <w:top w:val="single" w:sz="4" w:space="0" w:color="auto"/>
              <w:left w:val="nil"/>
              <w:bottom w:val="single" w:sz="8" w:space="0" w:color="auto"/>
              <w:right w:val="nil"/>
            </w:tcBorders>
            <w:shd w:val="clear" w:color="auto" w:fill="auto"/>
            <w:noWrap/>
            <w:vAlign w:val="center"/>
            <w:hideMark/>
          </w:tcPr>
          <w:p w14:paraId="7231AEBF" w14:textId="77777777" w:rsidR="00357562" w:rsidRPr="001E52FE" w:rsidRDefault="00357562" w:rsidP="0075478A">
            <w:pPr>
              <w:jc w:val="center"/>
              <w:rPr>
                <w:rFonts w:eastAsia="Times New Roman" w:cs="Times New Roman"/>
                <w:color w:val="000000"/>
                <w:sz w:val="22"/>
              </w:rPr>
            </w:pPr>
            <w:r w:rsidRPr="001E52FE">
              <w:rPr>
                <w:rFonts w:eastAsia="Times New Roman" w:cs="Times New Roman"/>
                <w:color w:val="000000"/>
                <w:sz w:val="22"/>
              </w:rPr>
              <w:t>RMSEA CI90</w:t>
            </w:r>
          </w:p>
        </w:tc>
        <w:tc>
          <w:tcPr>
            <w:tcW w:w="711" w:type="dxa"/>
            <w:tcBorders>
              <w:top w:val="single" w:sz="4" w:space="0" w:color="auto"/>
              <w:left w:val="nil"/>
              <w:bottom w:val="single" w:sz="8" w:space="0" w:color="auto"/>
              <w:right w:val="nil"/>
            </w:tcBorders>
            <w:shd w:val="clear" w:color="auto" w:fill="auto"/>
            <w:noWrap/>
            <w:vAlign w:val="center"/>
            <w:hideMark/>
          </w:tcPr>
          <w:p w14:paraId="7709D416" w14:textId="77777777" w:rsidR="00357562" w:rsidRPr="001E52FE" w:rsidRDefault="00357562" w:rsidP="00DB61D1">
            <w:pPr>
              <w:jc w:val="right"/>
              <w:rPr>
                <w:rFonts w:eastAsia="Times New Roman" w:cs="Times New Roman"/>
                <w:color w:val="000000"/>
                <w:sz w:val="22"/>
              </w:rPr>
            </w:pPr>
            <w:r w:rsidRPr="001E52FE">
              <w:rPr>
                <w:rFonts w:eastAsia="Times New Roman" w:cs="Times New Roman"/>
                <w:color w:val="000000"/>
                <w:sz w:val="22"/>
              </w:rPr>
              <w:t>CFI</w:t>
            </w:r>
          </w:p>
        </w:tc>
        <w:tc>
          <w:tcPr>
            <w:tcW w:w="711" w:type="dxa"/>
            <w:tcBorders>
              <w:top w:val="single" w:sz="4" w:space="0" w:color="auto"/>
              <w:left w:val="nil"/>
              <w:bottom w:val="single" w:sz="8" w:space="0" w:color="auto"/>
              <w:right w:val="nil"/>
            </w:tcBorders>
            <w:shd w:val="clear" w:color="auto" w:fill="auto"/>
            <w:noWrap/>
            <w:vAlign w:val="center"/>
            <w:hideMark/>
          </w:tcPr>
          <w:p w14:paraId="4F1A5630" w14:textId="77777777" w:rsidR="00357562" w:rsidRPr="001E52FE" w:rsidRDefault="00357562" w:rsidP="00DB61D1">
            <w:pPr>
              <w:jc w:val="right"/>
              <w:rPr>
                <w:rFonts w:eastAsia="Times New Roman" w:cs="Times New Roman"/>
                <w:color w:val="000000"/>
                <w:sz w:val="22"/>
              </w:rPr>
            </w:pPr>
            <w:r w:rsidRPr="001E52FE">
              <w:rPr>
                <w:rFonts w:eastAsia="Times New Roman" w:cs="Times New Roman"/>
                <w:color w:val="000000"/>
                <w:sz w:val="22"/>
              </w:rPr>
              <w:t>TLI</w:t>
            </w:r>
          </w:p>
        </w:tc>
      </w:tr>
      <w:tr w:rsidR="00357562" w:rsidRPr="001E52FE" w14:paraId="1A258F41" w14:textId="77777777" w:rsidTr="00357562">
        <w:trPr>
          <w:trHeight w:val="310"/>
        </w:trPr>
        <w:tc>
          <w:tcPr>
            <w:tcW w:w="2790" w:type="dxa"/>
            <w:tcBorders>
              <w:top w:val="nil"/>
              <w:left w:val="nil"/>
              <w:bottom w:val="nil"/>
              <w:right w:val="nil"/>
            </w:tcBorders>
            <w:shd w:val="clear" w:color="auto" w:fill="auto"/>
            <w:noWrap/>
            <w:vAlign w:val="bottom"/>
            <w:hideMark/>
          </w:tcPr>
          <w:p w14:paraId="24046542" w14:textId="77777777" w:rsidR="00357562" w:rsidRPr="001E52FE" w:rsidRDefault="00357562" w:rsidP="00D00F29">
            <w:pPr>
              <w:rPr>
                <w:rFonts w:eastAsia="Times New Roman" w:cs="Times New Roman"/>
                <w:b/>
                <w:bCs/>
                <w:color w:val="000000"/>
                <w:sz w:val="22"/>
                <w:u w:val="single"/>
              </w:rPr>
            </w:pPr>
            <w:r w:rsidRPr="001E52FE">
              <w:rPr>
                <w:rFonts w:eastAsia="Times New Roman" w:cs="Times New Roman"/>
                <w:b/>
                <w:bCs/>
                <w:color w:val="000000"/>
                <w:sz w:val="22"/>
                <w:u w:val="single"/>
              </w:rPr>
              <w:t>CFAs</w:t>
            </w:r>
          </w:p>
        </w:tc>
        <w:tc>
          <w:tcPr>
            <w:tcW w:w="1080" w:type="dxa"/>
            <w:tcBorders>
              <w:top w:val="nil"/>
              <w:left w:val="nil"/>
              <w:bottom w:val="nil"/>
              <w:right w:val="nil"/>
            </w:tcBorders>
          </w:tcPr>
          <w:p w14:paraId="57AD56B0" w14:textId="77777777" w:rsidR="00357562" w:rsidRPr="001E52FE" w:rsidRDefault="00357562" w:rsidP="00D00F29">
            <w:pPr>
              <w:rPr>
                <w:rFonts w:eastAsia="Times New Roman" w:cs="Times New Roman"/>
                <w:b/>
                <w:bCs/>
                <w:color w:val="000000"/>
                <w:sz w:val="22"/>
                <w:u w:val="single"/>
              </w:rPr>
            </w:pPr>
          </w:p>
        </w:tc>
        <w:tc>
          <w:tcPr>
            <w:tcW w:w="860" w:type="dxa"/>
            <w:tcBorders>
              <w:top w:val="nil"/>
              <w:left w:val="nil"/>
              <w:bottom w:val="nil"/>
              <w:right w:val="nil"/>
            </w:tcBorders>
            <w:shd w:val="clear" w:color="auto" w:fill="auto"/>
            <w:noWrap/>
            <w:vAlign w:val="center"/>
            <w:hideMark/>
          </w:tcPr>
          <w:p w14:paraId="2FE3833E" w14:textId="77777777" w:rsidR="00357562" w:rsidRPr="001E52FE" w:rsidRDefault="00357562" w:rsidP="00D00F29">
            <w:pPr>
              <w:rPr>
                <w:rFonts w:eastAsia="Times New Roman" w:cs="Times New Roman"/>
                <w:b/>
                <w:bCs/>
                <w:color w:val="000000"/>
                <w:sz w:val="22"/>
                <w:u w:val="single"/>
              </w:rPr>
            </w:pPr>
          </w:p>
        </w:tc>
        <w:tc>
          <w:tcPr>
            <w:tcW w:w="436" w:type="dxa"/>
            <w:tcBorders>
              <w:top w:val="nil"/>
              <w:left w:val="nil"/>
              <w:bottom w:val="nil"/>
              <w:right w:val="nil"/>
            </w:tcBorders>
            <w:shd w:val="clear" w:color="auto" w:fill="auto"/>
            <w:noWrap/>
            <w:vAlign w:val="center"/>
            <w:hideMark/>
          </w:tcPr>
          <w:p w14:paraId="462EAB2E" w14:textId="77777777" w:rsidR="00357562" w:rsidRPr="001E52FE" w:rsidRDefault="00357562" w:rsidP="00D00F29">
            <w:pPr>
              <w:rPr>
                <w:rFonts w:eastAsia="Times New Roman" w:cs="Times New Roman"/>
                <w:sz w:val="22"/>
              </w:rPr>
            </w:pPr>
          </w:p>
        </w:tc>
        <w:tc>
          <w:tcPr>
            <w:tcW w:w="900" w:type="dxa"/>
            <w:tcBorders>
              <w:top w:val="nil"/>
              <w:left w:val="nil"/>
              <w:bottom w:val="nil"/>
              <w:right w:val="nil"/>
            </w:tcBorders>
            <w:shd w:val="clear" w:color="auto" w:fill="auto"/>
            <w:noWrap/>
            <w:vAlign w:val="center"/>
            <w:hideMark/>
          </w:tcPr>
          <w:p w14:paraId="0769CC65" w14:textId="77777777" w:rsidR="00357562" w:rsidRPr="001E52FE" w:rsidRDefault="00357562" w:rsidP="00D00F29">
            <w:pPr>
              <w:rPr>
                <w:rFonts w:eastAsia="Times New Roman" w:cs="Times New Roman"/>
                <w:sz w:val="22"/>
              </w:rPr>
            </w:pPr>
          </w:p>
        </w:tc>
        <w:tc>
          <w:tcPr>
            <w:tcW w:w="974" w:type="dxa"/>
            <w:tcBorders>
              <w:top w:val="nil"/>
              <w:left w:val="nil"/>
              <w:bottom w:val="nil"/>
              <w:right w:val="nil"/>
            </w:tcBorders>
            <w:shd w:val="clear" w:color="auto" w:fill="auto"/>
            <w:noWrap/>
            <w:vAlign w:val="center"/>
            <w:hideMark/>
          </w:tcPr>
          <w:p w14:paraId="00D2F984" w14:textId="77777777" w:rsidR="00357562" w:rsidRPr="001E52FE" w:rsidRDefault="00357562" w:rsidP="00D00F29">
            <w:pPr>
              <w:rPr>
                <w:rFonts w:eastAsia="Times New Roman" w:cs="Times New Roman"/>
                <w:sz w:val="22"/>
              </w:rPr>
            </w:pPr>
          </w:p>
        </w:tc>
        <w:tc>
          <w:tcPr>
            <w:tcW w:w="1380" w:type="dxa"/>
            <w:tcBorders>
              <w:top w:val="nil"/>
              <w:left w:val="nil"/>
              <w:bottom w:val="nil"/>
              <w:right w:val="nil"/>
            </w:tcBorders>
            <w:shd w:val="clear" w:color="auto" w:fill="auto"/>
            <w:noWrap/>
            <w:vAlign w:val="center"/>
            <w:hideMark/>
          </w:tcPr>
          <w:p w14:paraId="38BAE09F" w14:textId="77777777" w:rsidR="00357562" w:rsidRPr="001E52FE" w:rsidRDefault="00357562" w:rsidP="0075478A">
            <w:pPr>
              <w:jc w:val="center"/>
              <w:rPr>
                <w:rFonts w:eastAsia="Times New Roman" w:cs="Times New Roman"/>
                <w:sz w:val="22"/>
              </w:rPr>
            </w:pPr>
          </w:p>
        </w:tc>
        <w:tc>
          <w:tcPr>
            <w:tcW w:w="711" w:type="dxa"/>
            <w:tcBorders>
              <w:top w:val="nil"/>
              <w:left w:val="nil"/>
              <w:bottom w:val="nil"/>
              <w:right w:val="nil"/>
            </w:tcBorders>
            <w:shd w:val="clear" w:color="auto" w:fill="auto"/>
            <w:noWrap/>
            <w:vAlign w:val="center"/>
            <w:hideMark/>
          </w:tcPr>
          <w:p w14:paraId="7447F8EB" w14:textId="77777777" w:rsidR="00357562" w:rsidRPr="001E52FE" w:rsidRDefault="00357562" w:rsidP="00D00F29">
            <w:pPr>
              <w:rPr>
                <w:rFonts w:eastAsia="Times New Roman" w:cs="Times New Roman"/>
                <w:sz w:val="22"/>
              </w:rPr>
            </w:pPr>
          </w:p>
        </w:tc>
        <w:tc>
          <w:tcPr>
            <w:tcW w:w="711" w:type="dxa"/>
            <w:tcBorders>
              <w:top w:val="nil"/>
              <w:left w:val="nil"/>
              <w:bottom w:val="nil"/>
              <w:right w:val="nil"/>
            </w:tcBorders>
            <w:shd w:val="clear" w:color="auto" w:fill="auto"/>
            <w:noWrap/>
            <w:vAlign w:val="center"/>
            <w:hideMark/>
          </w:tcPr>
          <w:p w14:paraId="08254DC7" w14:textId="77777777" w:rsidR="00357562" w:rsidRPr="001E52FE" w:rsidRDefault="00357562" w:rsidP="00D00F29">
            <w:pPr>
              <w:rPr>
                <w:rFonts w:eastAsia="Times New Roman" w:cs="Times New Roman"/>
                <w:sz w:val="22"/>
              </w:rPr>
            </w:pPr>
          </w:p>
        </w:tc>
      </w:tr>
      <w:tr w:rsidR="00357562" w:rsidRPr="001E52FE" w14:paraId="4124882A" w14:textId="77777777" w:rsidTr="00357562">
        <w:trPr>
          <w:trHeight w:val="310"/>
        </w:trPr>
        <w:tc>
          <w:tcPr>
            <w:tcW w:w="2790" w:type="dxa"/>
            <w:tcBorders>
              <w:top w:val="nil"/>
              <w:left w:val="nil"/>
              <w:bottom w:val="nil"/>
              <w:right w:val="nil"/>
            </w:tcBorders>
            <w:shd w:val="clear" w:color="auto" w:fill="auto"/>
            <w:noWrap/>
            <w:vAlign w:val="bottom"/>
            <w:hideMark/>
          </w:tcPr>
          <w:p w14:paraId="2DF580CA" w14:textId="77777777" w:rsidR="00357562" w:rsidRPr="001E52FE" w:rsidRDefault="00357562" w:rsidP="00D00F29">
            <w:pPr>
              <w:rPr>
                <w:rFonts w:eastAsia="Times New Roman" w:cs="Times New Roman"/>
                <w:color w:val="000000"/>
                <w:sz w:val="22"/>
              </w:rPr>
            </w:pPr>
            <w:r w:rsidRPr="001E52FE">
              <w:rPr>
                <w:rFonts w:eastAsia="Times New Roman" w:cs="Times New Roman"/>
                <w:color w:val="000000"/>
                <w:sz w:val="22"/>
              </w:rPr>
              <w:t>Partner Characteristics</w:t>
            </w:r>
          </w:p>
        </w:tc>
        <w:tc>
          <w:tcPr>
            <w:tcW w:w="1080" w:type="dxa"/>
            <w:tcBorders>
              <w:top w:val="nil"/>
              <w:left w:val="nil"/>
              <w:bottom w:val="nil"/>
              <w:right w:val="nil"/>
            </w:tcBorders>
          </w:tcPr>
          <w:p w14:paraId="3E5A867F" w14:textId="77777777" w:rsidR="00357562" w:rsidRPr="001E52FE" w:rsidRDefault="00357562" w:rsidP="00D00F29">
            <w:pPr>
              <w:jc w:val="right"/>
              <w:rPr>
                <w:rFonts w:eastAsia="Times New Roman" w:cs="Times New Roman"/>
                <w:iCs/>
                <w:color w:val="000000"/>
                <w:sz w:val="22"/>
              </w:rPr>
            </w:pPr>
          </w:p>
        </w:tc>
        <w:tc>
          <w:tcPr>
            <w:tcW w:w="860" w:type="dxa"/>
            <w:tcBorders>
              <w:top w:val="nil"/>
              <w:left w:val="nil"/>
              <w:bottom w:val="nil"/>
              <w:right w:val="nil"/>
            </w:tcBorders>
            <w:shd w:val="clear" w:color="auto" w:fill="auto"/>
            <w:noWrap/>
            <w:vAlign w:val="center"/>
            <w:hideMark/>
          </w:tcPr>
          <w:p w14:paraId="31E68A0F"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161.13</w:t>
            </w:r>
          </w:p>
        </w:tc>
        <w:tc>
          <w:tcPr>
            <w:tcW w:w="436" w:type="dxa"/>
            <w:tcBorders>
              <w:top w:val="nil"/>
              <w:left w:val="nil"/>
              <w:bottom w:val="nil"/>
              <w:right w:val="nil"/>
            </w:tcBorders>
            <w:shd w:val="clear" w:color="auto" w:fill="auto"/>
            <w:noWrap/>
            <w:vAlign w:val="center"/>
            <w:hideMark/>
          </w:tcPr>
          <w:p w14:paraId="744B25B5"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87</w:t>
            </w:r>
          </w:p>
        </w:tc>
        <w:tc>
          <w:tcPr>
            <w:tcW w:w="900" w:type="dxa"/>
            <w:tcBorders>
              <w:top w:val="nil"/>
              <w:left w:val="nil"/>
              <w:bottom w:val="nil"/>
              <w:right w:val="nil"/>
            </w:tcBorders>
            <w:shd w:val="clear" w:color="auto" w:fill="auto"/>
            <w:noWrap/>
            <w:vAlign w:val="center"/>
            <w:hideMark/>
          </w:tcPr>
          <w:p w14:paraId="01F27CCE"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.00</w:t>
            </w:r>
          </w:p>
        </w:tc>
        <w:tc>
          <w:tcPr>
            <w:tcW w:w="974" w:type="dxa"/>
            <w:tcBorders>
              <w:top w:val="nil"/>
              <w:left w:val="nil"/>
              <w:bottom w:val="nil"/>
              <w:right w:val="nil"/>
            </w:tcBorders>
            <w:shd w:val="clear" w:color="auto" w:fill="auto"/>
            <w:noWrap/>
            <w:vAlign w:val="center"/>
            <w:hideMark/>
          </w:tcPr>
          <w:p w14:paraId="4EAA9B9D"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.053</w:t>
            </w:r>
          </w:p>
        </w:tc>
        <w:tc>
          <w:tcPr>
            <w:tcW w:w="1380" w:type="dxa"/>
            <w:tcBorders>
              <w:top w:val="nil"/>
              <w:left w:val="nil"/>
              <w:bottom w:val="nil"/>
              <w:right w:val="nil"/>
            </w:tcBorders>
            <w:shd w:val="clear" w:color="auto" w:fill="auto"/>
            <w:noWrap/>
            <w:vAlign w:val="center"/>
            <w:hideMark/>
          </w:tcPr>
          <w:p w14:paraId="0220B966" w14:textId="77777777" w:rsidR="00357562" w:rsidRPr="001E52FE" w:rsidRDefault="00357562" w:rsidP="0075478A">
            <w:pPr>
              <w:jc w:val="center"/>
              <w:rPr>
                <w:rFonts w:eastAsia="Times New Roman" w:cs="Times New Roman"/>
                <w:color w:val="000000"/>
                <w:sz w:val="22"/>
              </w:rPr>
            </w:pPr>
            <w:r w:rsidRPr="001E52FE">
              <w:rPr>
                <w:rFonts w:eastAsia="Times New Roman" w:cs="Times New Roman"/>
                <w:color w:val="000000"/>
                <w:sz w:val="22"/>
              </w:rPr>
              <w:t>.040, .066</w:t>
            </w:r>
          </w:p>
        </w:tc>
        <w:tc>
          <w:tcPr>
            <w:tcW w:w="711" w:type="dxa"/>
            <w:tcBorders>
              <w:top w:val="nil"/>
              <w:left w:val="nil"/>
              <w:bottom w:val="nil"/>
              <w:right w:val="nil"/>
            </w:tcBorders>
            <w:shd w:val="clear" w:color="auto" w:fill="auto"/>
            <w:noWrap/>
            <w:vAlign w:val="center"/>
            <w:hideMark/>
          </w:tcPr>
          <w:p w14:paraId="3C751CA0"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.93</w:t>
            </w:r>
          </w:p>
        </w:tc>
        <w:tc>
          <w:tcPr>
            <w:tcW w:w="711" w:type="dxa"/>
            <w:tcBorders>
              <w:top w:val="nil"/>
              <w:left w:val="nil"/>
              <w:bottom w:val="nil"/>
              <w:right w:val="nil"/>
            </w:tcBorders>
            <w:shd w:val="clear" w:color="auto" w:fill="auto"/>
            <w:noWrap/>
            <w:vAlign w:val="center"/>
            <w:hideMark/>
          </w:tcPr>
          <w:p w14:paraId="73D80429"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.92</w:t>
            </w:r>
          </w:p>
        </w:tc>
      </w:tr>
      <w:tr w:rsidR="00357562" w:rsidRPr="001E52FE" w14:paraId="20580A2E" w14:textId="77777777" w:rsidTr="00357562">
        <w:trPr>
          <w:trHeight w:val="310"/>
        </w:trPr>
        <w:tc>
          <w:tcPr>
            <w:tcW w:w="2790" w:type="dxa"/>
            <w:tcBorders>
              <w:top w:val="nil"/>
              <w:left w:val="nil"/>
              <w:bottom w:val="nil"/>
              <w:right w:val="nil"/>
            </w:tcBorders>
            <w:shd w:val="clear" w:color="auto" w:fill="auto"/>
            <w:noWrap/>
            <w:vAlign w:val="bottom"/>
            <w:hideMark/>
          </w:tcPr>
          <w:p w14:paraId="3188830F" w14:textId="77777777" w:rsidR="00357562" w:rsidRPr="001E52FE" w:rsidRDefault="00357562" w:rsidP="00D00F29">
            <w:pPr>
              <w:rPr>
                <w:rFonts w:eastAsia="Times New Roman" w:cs="Times New Roman"/>
                <w:color w:val="000000"/>
                <w:sz w:val="22"/>
              </w:rPr>
            </w:pPr>
            <w:r w:rsidRPr="001E52FE">
              <w:rPr>
                <w:rFonts w:eastAsia="Times New Roman" w:cs="Times New Roman"/>
                <w:color w:val="000000"/>
                <w:sz w:val="22"/>
              </w:rPr>
              <w:t>Interdependence</w:t>
            </w:r>
          </w:p>
        </w:tc>
        <w:tc>
          <w:tcPr>
            <w:tcW w:w="1080" w:type="dxa"/>
            <w:tcBorders>
              <w:top w:val="nil"/>
              <w:left w:val="nil"/>
              <w:bottom w:val="nil"/>
              <w:right w:val="nil"/>
            </w:tcBorders>
          </w:tcPr>
          <w:p w14:paraId="5D189B15" w14:textId="77777777" w:rsidR="00357562" w:rsidRPr="001E52FE" w:rsidRDefault="00357562" w:rsidP="00D00F29">
            <w:pPr>
              <w:jc w:val="right"/>
              <w:rPr>
                <w:rFonts w:eastAsia="Times New Roman" w:cs="Times New Roman"/>
                <w:iCs/>
                <w:color w:val="000000"/>
                <w:sz w:val="22"/>
              </w:rPr>
            </w:pPr>
          </w:p>
        </w:tc>
        <w:tc>
          <w:tcPr>
            <w:tcW w:w="860" w:type="dxa"/>
            <w:tcBorders>
              <w:top w:val="nil"/>
              <w:left w:val="nil"/>
              <w:bottom w:val="nil"/>
              <w:right w:val="nil"/>
            </w:tcBorders>
            <w:shd w:val="clear" w:color="auto" w:fill="auto"/>
            <w:noWrap/>
            <w:vAlign w:val="center"/>
            <w:hideMark/>
          </w:tcPr>
          <w:p w14:paraId="14025D28"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17.89</w:t>
            </w:r>
          </w:p>
        </w:tc>
        <w:tc>
          <w:tcPr>
            <w:tcW w:w="436" w:type="dxa"/>
            <w:tcBorders>
              <w:top w:val="nil"/>
              <w:left w:val="nil"/>
              <w:bottom w:val="nil"/>
              <w:right w:val="nil"/>
            </w:tcBorders>
            <w:shd w:val="clear" w:color="auto" w:fill="auto"/>
            <w:noWrap/>
            <w:vAlign w:val="center"/>
            <w:hideMark/>
          </w:tcPr>
          <w:p w14:paraId="39BC89EB"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5</w:t>
            </w:r>
          </w:p>
        </w:tc>
        <w:tc>
          <w:tcPr>
            <w:tcW w:w="900" w:type="dxa"/>
            <w:tcBorders>
              <w:top w:val="nil"/>
              <w:left w:val="nil"/>
              <w:bottom w:val="nil"/>
              <w:right w:val="nil"/>
            </w:tcBorders>
            <w:shd w:val="clear" w:color="auto" w:fill="auto"/>
            <w:noWrap/>
            <w:vAlign w:val="center"/>
            <w:hideMark/>
          </w:tcPr>
          <w:p w14:paraId="1103D3AA"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.00</w:t>
            </w:r>
          </w:p>
        </w:tc>
        <w:tc>
          <w:tcPr>
            <w:tcW w:w="974" w:type="dxa"/>
            <w:tcBorders>
              <w:top w:val="nil"/>
              <w:left w:val="nil"/>
              <w:bottom w:val="nil"/>
              <w:right w:val="nil"/>
            </w:tcBorders>
            <w:shd w:val="clear" w:color="auto" w:fill="auto"/>
            <w:noWrap/>
            <w:vAlign w:val="center"/>
            <w:hideMark/>
          </w:tcPr>
          <w:p w14:paraId="5ADBEBAF"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.090</w:t>
            </w:r>
          </w:p>
        </w:tc>
        <w:tc>
          <w:tcPr>
            <w:tcW w:w="1380" w:type="dxa"/>
            <w:tcBorders>
              <w:top w:val="nil"/>
              <w:left w:val="nil"/>
              <w:bottom w:val="nil"/>
              <w:right w:val="nil"/>
            </w:tcBorders>
            <w:shd w:val="clear" w:color="auto" w:fill="auto"/>
            <w:noWrap/>
            <w:vAlign w:val="center"/>
            <w:hideMark/>
          </w:tcPr>
          <w:p w14:paraId="41ED8AFD" w14:textId="77777777" w:rsidR="00357562" w:rsidRPr="001E52FE" w:rsidRDefault="00357562" w:rsidP="0075478A">
            <w:pPr>
              <w:jc w:val="center"/>
              <w:rPr>
                <w:rFonts w:eastAsia="Times New Roman" w:cs="Times New Roman"/>
                <w:color w:val="000000"/>
                <w:sz w:val="22"/>
              </w:rPr>
            </w:pPr>
            <w:r w:rsidRPr="001E52FE">
              <w:rPr>
                <w:rFonts w:eastAsia="Times New Roman" w:cs="Times New Roman"/>
                <w:color w:val="000000"/>
                <w:sz w:val="22"/>
              </w:rPr>
              <w:t>.049, .141</w:t>
            </w:r>
          </w:p>
        </w:tc>
        <w:tc>
          <w:tcPr>
            <w:tcW w:w="711" w:type="dxa"/>
            <w:tcBorders>
              <w:top w:val="nil"/>
              <w:left w:val="nil"/>
              <w:bottom w:val="nil"/>
              <w:right w:val="nil"/>
            </w:tcBorders>
            <w:shd w:val="clear" w:color="auto" w:fill="auto"/>
            <w:noWrap/>
            <w:vAlign w:val="center"/>
            <w:hideMark/>
          </w:tcPr>
          <w:p w14:paraId="50F9F3C3"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.98</w:t>
            </w:r>
          </w:p>
        </w:tc>
        <w:tc>
          <w:tcPr>
            <w:tcW w:w="711" w:type="dxa"/>
            <w:tcBorders>
              <w:top w:val="nil"/>
              <w:left w:val="nil"/>
              <w:bottom w:val="nil"/>
              <w:right w:val="nil"/>
            </w:tcBorders>
            <w:shd w:val="clear" w:color="auto" w:fill="auto"/>
            <w:noWrap/>
            <w:vAlign w:val="center"/>
            <w:hideMark/>
          </w:tcPr>
          <w:p w14:paraId="2009503D"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.95</w:t>
            </w:r>
          </w:p>
        </w:tc>
      </w:tr>
      <w:tr w:rsidR="00357562" w:rsidRPr="001E52FE" w14:paraId="4CEFA75E" w14:textId="77777777" w:rsidTr="00357562">
        <w:trPr>
          <w:trHeight w:val="310"/>
        </w:trPr>
        <w:tc>
          <w:tcPr>
            <w:tcW w:w="2790" w:type="dxa"/>
            <w:tcBorders>
              <w:top w:val="nil"/>
              <w:left w:val="nil"/>
              <w:bottom w:val="nil"/>
              <w:right w:val="nil"/>
            </w:tcBorders>
            <w:shd w:val="clear" w:color="auto" w:fill="auto"/>
            <w:noWrap/>
            <w:vAlign w:val="bottom"/>
            <w:hideMark/>
          </w:tcPr>
          <w:p w14:paraId="6C8B4E44" w14:textId="77777777" w:rsidR="00357562" w:rsidRPr="001E52FE" w:rsidRDefault="00357562" w:rsidP="00D00F29">
            <w:pPr>
              <w:rPr>
                <w:rFonts w:eastAsia="Times New Roman" w:cs="Times New Roman"/>
                <w:color w:val="000000"/>
                <w:sz w:val="22"/>
              </w:rPr>
            </w:pPr>
            <w:r w:rsidRPr="001E52FE">
              <w:rPr>
                <w:rFonts w:eastAsia="Times New Roman" w:cs="Times New Roman"/>
                <w:color w:val="000000"/>
                <w:sz w:val="22"/>
              </w:rPr>
              <w:t>Closeness</w:t>
            </w:r>
          </w:p>
        </w:tc>
        <w:tc>
          <w:tcPr>
            <w:tcW w:w="1080" w:type="dxa"/>
            <w:tcBorders>
              <w:top w:val="nil"/>
              <w:left w:val="nil"/>
              <w:bottom w:val="nil"/>
              <w:right w:val="nil"/>
            </w:tcBorders>
          </w:tcPr>
          <w:p w14:paraId="37467273" w14:textId="77777777" w:rsidR="00357562" w:rsidRPr="001E52FE" w:rsidRDefault="00357562" w:rsidP="00D00F29">
            <w:pPr>
              <w:jc w:val="right"/>
              <w:rPr>
                <w:rFonts w:eastAsia="Times New Roman" w:cs="Times New Roman"/>
                <w:iCs/>
                <w:color w:val="000000"/>
                <w:sz w:val="22"/>
              </w:rPr>
            </w:pPr>
          </w:p>
        </w:tc>
        <w:tc>
          <w:tcPr>
            <w:tcW w:w="860" w:type="dxa"/>
            <w:tcBorders>
              <w:top w:val="nil"/>
              <w:left w:val="nil"/>
              <w:bottom w:val="nil"/>
              <w:right w:val="nil"/>
            </w:tcBorders>
            <w:shd w:val="clear" w:color="auto" w:fill="auto"/>
            <w:noWrap/>
            <w:vAlign w:val="center"/>
            <w:hideMark/>
          </w:tcPr>
          <w:p w14:paraId="24A18769"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59.59</w:t>
            </w:r>
          </w:p>
        </w:tc>
        <w:tc>
          <w:tcPr>
            <w:tcW w:w="436" w:type="dxa"/>
            <w:tcBorders>
              <w:top w:val="nil"/>
              <w:left w:val="nil"/>
              <w:bottom w:val="nil"/>
              <w:right w:val="nil"/>
            </w:tcBorders>
            <w:shd w:val="clear" w:color="auto" w:fill="auto"/>
            <w:noWrap/>
            <w:vAlign w:val="center"/>
            <w:hideMark/>
          </w:tcPr>
          <w:p w14:paraId="63D4949E"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53</w:t>
            </w:r>
          </w:p>
        </w:tc>
        <w:tc>
          <w:tcPr>
            <w:tcW w:w="900" w:type="dxa"/>
            <w:tcBorders>
              <w:top w:val="nil"/>
              <w:left w:val="nil"/>
              <w:bottom w:val="nil"/>
              <w:right w:val="nil"/>
            </w:tcBorders>
            <w:shd w:val="clear" w:color="auto" w:fill="auto"/>
            <w:noWrap/>
            <w:vAlign w:val="center"/>
            <w:hideMark/>
          </w:tcPr>
          <w:p w14:paraId="6D566A8E"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.25</w:t>
            </w:r>
          </w:p>
        </w:tc>
        <w:tc>
          <w:tcPr>
            <w:tcW w:w="974" w:type="dxa"/>
            <w:tcBorders>
              <w:top w:val="nil"/>
              <w:left w:val="nil"/>
              <w:bottom w:val="nil"/>
              <w:right w:val="nil"/>
            </w:tcBorders>
            <w:shd w:val="clear" w:color="auto" w:fill="auto"/>
            <w:noWrap/>
            <w:vAlign w:val="center"/>
            <w:hideMark/>
          </w:tcPr>
          <w:p w14:paraId="2742BEC7"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.029</w:t>
            </w:r>
          </w:p>
        </w:tc>
        <w:tc>
          <w:tcPr>
            <w:tcW w:w="1380" w:type="dxa"/>
            <w:tcBorders>
              <w:top w:val="nil"/>
              <w:left w:val="nil"/>
              <w:bottom w:val="nil"/>
              <w:right w:val="nil"/>
            </w:tcBorders>
            <w:shd w:val="clear" w:color="auto" w:fill="auto"/>
            <w:noWrap/>
            <w:vAlign w:val="center"/>
            <w:hideMark/>
          </w:tcPr>
          <w:p w14:paraId="469D8F11" w14:textId="77777777" w:rsidR="00357562" w:rsidRPr="001E52FE" w:rsidRDefault="00357562" w:rsidP="0075478A">
            <w:pPr>
              <w:jc w:val="center"/>
              <w:rPr>
                <w:rFonts w:eastAsia="Times New Roman" w:cs="Times New Roman"/>
                <w:color w:val="000000"/>
                <w:sz w:val="22"/>
              </w:rPr>
            </w:pPr>
            <w:r w:rsidRPr="001E52FE">
              <w:rPr>
                <w:rFonts w:eastAsia="Times New Roman" w:cs="Times New Roman"/>
                <w:color w:val="000000"/>
                <w:sz w:val="22"/>
              </w:rPr>
              <w:t>.000, .061</w:t>
            </w:r>
          </w:p>
        </w:tc>
        <w:tc>
          <w:tcPr>
            <w:tcW w:w="711" w:type="dxa"/>
            <w:tcBorders>
              <w:top w:val="nil"/>
              <w:left w:val="nil"/>
              <w:bottom w:val="nil"/>
              <w:right w:val="nil"/>
            </w:tcBorders>
            <w:shd w:val="clear" w:color="auto" w:fill="auto"/>
            <w:noWrap/>
            <w:vAlign w:val="center"/>
            <w:hideMark/>
          </w:tcPr>
          <w:p w14:paraId="2586508D"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.99</w:t>
            </w:r>
          </w:p>
        </w:tc>
        <w:tc>
          <w:tcPr>
            <w:tcW w:w="711" w:type="dxa"/>
            <w:tcBorders>
              <w:top w:val="nil"/>
              <w:left w:val="nil"/>
              <w:bottom w:val="nil"/>
              <w:right w:val="nil"/>
            </w:tcBorders>
            <w:shd w:val="clear" w:color="auto" w:fill="auto"/>
            <w:noWrap/>
            <w:vAlign w:val="center"/>
            <w:hideMark/>
          </w:tcPr>
          <w:p w14:paraId="2CCCEEBE"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.99</w:t>
            </w:r>
          </w:p>
        </w:tc>
      </w:tr>
      <w:tr w:rsidR="00357562" w:rsidRPr="001E52FE" w14:paraId="52360ABC" w14:textId="77777777" w:rsidTr="00357562">
        <w:trPr>
          <w:trHeight w:val="310"/>
        </w:trPr>
        <w:tc>
          <w:tcPr>
            <w:tcW w:w="2790" w:type="dxa"/>
            <w:tcBorders>
              <w:top w:val="nil"/>
              <w:left w:val="nil"/>
              <w:bottom w:val="nil"/>
              <w:right w:val="nil"/>
            </w:tcBorders>
            <w:shd w:val="clear" w:color="auto" w:fill="auto"/>
            <w:noWrap/>
            <w:vAlign w:val="bottom"/>
            <w:hideMark/>
          </w:tcPr>
          <w:p w14:paraId="20F4B1C5" w14:textId="77777777" w:rsidR="00357562" w:rsidRPr="001E52FE" w:rsidRDefault="00357562" w:rsidP="00D00F29">
            <w:pPr>
              <w:rPr>
                <w:rFonts w:eastAsia="Times New Roman" w:cs="Times New Roman"/>
                <w:color w:val="000000"/>
                <w:sz w:val="22"/>
              </w:rPr>
            </w:pPr>
            <w:r w:rsidRPr="001E52FE">
              <w:rPr>
                <w:rFonts w:eastAsia="Times New Roman" w:cs="Times New Roman"/>
                <w:color w:val="000000"/>
                <w:sz w:val="22"/>
              </w:rPr>
              <w:t>Past Support</w:t>
            </w:r>
          </w:p>
        </w:tc>
        <w:tc>
          <w:tcPr>
            <w:tcW w:w="1080" w:type="dxa"/>
            <w:tcBorders>
              <w:top w:val="nil"/>
              <w:left w:val="nil"/>
              <w:bottom w:val="nil"/>
              <w:right w:val="nil"/>
            </w:tcBorders>
          </w:tcPr>
          <w:p w14:paraId="66548644" w14:textId="77777777" w:rsidR="00357562" w:rsidRPr="001E52FE" w:rsidRDefault="00357562" w:rsidP="00D00F29">
            <w:pPr>
              <w:jc w:val="right"/>
              <w:rPr>
                <w:rFonts w:eastAsia="Times New Roman" w:cs="Times New Roman"/>
                <w:iCs/>
                <w:color w:val="000000"/>
                <w:sz w:val="22"/>
              </w:rPr>
            </w:pPr>
          </w:p>
        </w:tc>
        <w:tc>
          <w:tcPr>
            <w:tcW w:w="860" w:type="dxa"/>
            <w:tcBorders>
              <w:top w:val="nil"/>
              <w:left w:val="nil"/>
              <w:bottom w:val="nil"/>
              <w:right w:val="nil"/>
            </w:tcBorders>
            <w:shd w:val="clear" w:color="auto" w:fill="auto"/>
            <w:noWrap/>
            <w:vAlign w:val="center"/>
            <w:hideMark/>
          </w:tcPr>
          <w:p w14:paraId="53AFC547"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93.34</w:t>
            </w:r>
          </w:p>
        </w:tc>
        <w:tc>
          <w:tcPr>
            <w:tcW w:w="436" w:type="dxa"/>
            <w:tcBorders>
              <w:top w:val="nil"/>
              <w:left w:val="nil"/>
              <w:bottom w:val="nil"/>
              <w:right w:val="nil"/>
            </w:tcBorders>
            <w:shd w:val="clear" w:color="auto" w:fill="auto"/>
            <w:noWrap/>
            <w:vAlign w:val="center"/>
            <w:hideMark/>
          </w:tcPr>
          <w:p w14:paraId="1930282F"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59</w:t>
            </w:r>
          </w:p>
        </w:tc>
        <w:tc>
          <w:tcPr>
            <w:tcW w:w="900" w:type="dxa"/>
            <w:tcBorders>
              <w:top w:val="nil"/>
              <w:left w:val="nil"/>
              <w:bottom w:val="nil"/>
              <w:right w:val="nil"/>
            </w:tcBorders>
            <w:shd w:val="clear" w:color="auto" w:fill="auto"/>
            <w:noWrap/>
            <w:vAlign w:val="center"/>
            <w:hideMark/>
          </w:tcPr>
          <w:p w14:paraId="6782626C"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.00</w:t>
            </w:r>
          </w:p>
        </w:tc>
        <w:tc>
          <w:tcPr>
            <w:tcW w:w="974" w:type="dxa"/>
            <w:tcBorders>
              <w:top w:val="nil"/>
              <w:left w:val="nil"/>
              <w:bottom w:val="nil"/>
              <w:right w:val="nil"/>
            </w:tcBorders>
            <w:shd w:val="clear" w:color="auto" w:fill="auto"/>
            <w:noWrap/>
            <w:vAlign w:val="center"/>
            <w:hideMark/>
          </w:tcPr>
          <w:p w14:paraId="1006B0CA"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.044</w:t>
            </w:r>
          </w:p>
        </w:tc>
        <w:tc>
          <w:tcPr>
            <w:tcW w:w="1380" w:type="dxa"/>
            <w:tcBorders>
              <w:top w:val="nil"/>
              <w:left w:val="nil"/>
              <w:bottom w:val="nil"/>
              <w:right w:val="nil"/>
            </w:tcBorders>
            <w:shd w:val="clear" w:color="auto" w:fill="auto"/>
            <w:noWrap/>
            <w:vAlign w:val="center"/>
            <w:hideMark/>
          </w:tcPr>
          <w:p w14:paraId="6BB8E9E8" w14:textId="77777777" w:rsidR="00357562" w:rsidRPr="001E52FE" w:rsidRDefault="00357562" w:rsidP="0075478A">
            <w:pPr>
              <w:jc w:val="center"/>
              <w:rPr>
                <w:rFonts w:eastAsia="Times New Roman" w:cs="Times New Roman"/>
                <w:color w:val="000000"/>
                <w:sz w:val="22"/>
              </w:rPr>
            </w:pPr>
            <w:r w:rsidRPr="001E52FE">
              <w:rPr>
                <w:rFonts w:eastAsia="Times New Roman" w:cs="Times New Roman"/>
                <w:color w:val="000000"/>
                <w:sz w:val="22"/>
              </w:rPr>
              <w:t>.026, .061</w:t>
            </w:r>
          </w:p>
        </w:tc>
        <w:tc>
          <w:tcPr>
            <w:tcW w:w="711" w:type="dxa"/>
            <w:tcBorders>
              <w:top w:val="nil"/>
              <w:left w:val="nil"/>
              <w:bottom w:val="nil"/>
              <w:right w:val="nil"/>
            </w:tcBorders>
            <w:shd w:val="clear" w:color="auto" w:fill="auto"/>
            <w:noWrap/>
            <w:vAlign w:val="center"/>
            <w:hideMark/>
          </w:tcPr>
          <w:p w14:paraId="2FF24FC9"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.98</w:t>
            </w:r>
          </w:p>
        </w:tc>
        <w:tc>
          <w:tcPr>
            <w:tcW w:w="711" w:type="dxa"/>
            <w:tcBorders>
              <w:top w:val="nil"/>
              <w:left w:val="nil"/>
              <w:bottom w:val="nil"/>
              <w:right w:val="nil"/>
            </w:tcBorders>
            <w:shd w:val="clear" w:color="auto" w:fill="auto"/>
            <w:noWrap/>
            <w:vAlign w:val="center"/>
            <w:hideMark/>
          </w:tcPr>
          <w:p w14:paraId="7DEB9813"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.98</w:t>
            </w:r>
          </w:p>
        </w:tc>
      </w:tr>
      <w:tr w:rsidR="00357562" w:rsidRPr="001E52FE" w14:paraId="30F41557" w14:textId="77777777" w:rsidTr="00357562">
        <w:trPr>
          <w:trHeight w:val="310"/>
        </w:trPr>
        <w:tc>
          <w:tcPr>
            <w:tcW w:w="2790" w:type="dxa"/>
            <w:tcBorders>
              <w:top w:val="nil"/>
              <w:left w:val="nil"/>
              <w:bottom w:val="nil"/>
              <w:right w:val="nil"/>
            </w:tcBorders>
            <w:shd w:val="clear" w:color="auto" w:fill="auto"/>
            <w:noWrap/>
            <w:vAlign w:val="bottom"/>
            <w:hideMark/>
          </w:tcPr>
          <w:p w14:paraId="7E46B59F" w14:textId="77777777" w:rsidR="00357562" w:rsidRPr="001E52FE" w:rsidRDefault="00357562" w:rsidP="00D00F29">
            <w:pPr>
              <w:rPr>
                <w:rFonts w:eastAsia="Times New Roman" w:cs="Times New Roman"/>
                <w:color w:val="000000"/>
                <w:sz w:val="22"/>
              </w:rPr>
            </w:pPr>
            <w:r w:rsidRPr="001E52FE">
              <w:rPr>
                <w:rFonts w:eastAsia="Times New Roman" w:cs="Times New Roman"/>
                <w:color w:val="000000"/>
                <w:sz w:val="22"/>
              </w:rPr>
              <w:t>Advice Quality</w:t>
            </w:r>
          </w:p>
        </w:tc>
        <w:tc>
          <w:tcPr>
            <w:tcW w:w="1080" w:type="dxa"/>
            <w:tcBorders>
              <w:top w:val="nil"/>
              <w:left w:val="nil"/>
              <w:bottom w:val="nil"/>
              <w:right w:val="nil"/>
            </w:tcBorders>
          </w:tcPr>
          <w:p w14:paraId="79B2811B" w14:textId="77777777" w:rsidR="00357562" w:rsidRPr="001E52FE" w:rsidRDefault="00357562" w:rsidP="00D00F29">
            <w:pPr>
              <w:jc w:val="right"/>
              <w:rPr>
                <w:rFonts w:eastAsia="Times New Roman" w:cs="Times New Roman"/>
                <w:iCs/>
                <w:color w:val="000000"/>
                <w:sz w:val="22"/>
              </w:rPr>
            </w:pPr>
          </w:p>
        </w:tc>
        <w:tc>
          <w:tcPr>
            <w:tcW w:w="860" w:type="dxa"/>
            <w:tcBorders>
              <w:top w:val="nil"/>
              <w:left w:val="nil"/>
              <w:bottom w:val="nil"/>
              <w:right w:val="nil"/>
            </w:tcBorders>
            <w:shd w:val="clear" w:color="auto" w:fill="auto"/>
            <w:noWrap/>
            <w:vAlign w:val="center"/>
            <w:hideMark/>
          </w:tcPr>
          <w:p w14:paraId="500FDBD3"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14.95</w:t>
            </w:r>
          </w:p>
        </w:tc>
        <w:tc>
          <w:tcPr>
            <w:tcW w:w="436" w:type="dxa"/>
            <w:tcBorders>
              <w:top w:val="nil"/>
              <w:left w:val="nil"/>
              <w:bottom w:val="nil"/>
              <w:right w:val="nil"/>
            </w:tcBorders>
            <w:shd w:val="clear" w:color="auto" w:fill="auto"/>
            <w:noWrap/>
            <w:vAlign w:val="center"/>
            <w:hideMark/>
          </w:tcPr>
          <w:p w14:paraId="0B71009A"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8</w:t>
            </w:r>
          </w:p>
        </w:tc>
        <w:tc>
          <w:tcPr>
            <w:tcW w:w="900" w:type="dxa"/>
            <w:tcBorders>
              <w:top w:val="nil"/>
              <w:left w:val="nil"/>
              <w:bottom w:val="nil"/>
              <w:right w:val="nil"/>
            </w:tcBorders>
            <w:shd w:val="clear" w:color="auto" w:fill="auto"/>
            <w:noWrap/>
            <w:vAlign w:val="center"/>
            <w:hideMark/>
          </w:tcPr>
          <w:p w14:paraId="0930CA59"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.06</w:t>
            </w:r>
          </w:p>
        </w:tc>
        <w:tc>
          <w:tcPr>
            <w:tcW w:w="974" w:type="dxa"/>
            <w:tcBorders>
              <w:top w:val="nil"/>
              <w:left w:val="nil"/>
              <w:bottom w:val="nil"/>
              <w:right w:val="nil"/>
            </w:tcBorders>
            <w:shd w:val="clear" w:color="auto" w:fill="auto"/>
            <w:noWrap/>
            <w:vAlign w:val="center"/>
            <w:hideMark/>
          </w:tcPr>
          <w:p w14:paraId="2FCF66DD"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.076</w:t>
            </w:r>
          </w:p>
        </w:tc>
        <w:tc>
          <w:tcPr>
            <w:tcW w:w="1380" w:type="dxa"/>
            <w:tcBorders>
              <w:top w:val="nil"/>
              <w:left w:val="nil"/>
              <w:bottom w:val="nil"/>
              <w:right w:val="nil"/>
            </w:tcBorders>
            <w:shd w:val="clear" w:color="auto" w:fill="auto"/>
            <w:noWrap/>
            <w:vAlign w:val="center"/>
            <w:hideMark/>
          </w:tcPr>
          <w:p w14:paraId="42A9FE68" w14:textId="77777777" w:rsidR="00357562" w:rsidRPr="001E52FE" w:rsidRDefault="00357562" w:rsidP="0075478A">
            <w:pPr>
              <w:jc w:val="center"/>
              <w:rPr>
                <w:rFonts w:eastAsia="Times New Roman" w:cs="Times New Roman"/>
                <w:color w:val="000000"/>
                <w:sz w:val="22"/>
              </w:rPr>
            </w:pPr>
            <w:r w:rsidRPr="001E52FE">
              <w:rPr>
                <w:rFonts w:eastAsia="Times New Roman" w:cs="Times New Roman"/>
                <w:color w:val="000000"/>
                <w:sz w:val="22"/>
              </w:rPr>
              <w:t>.000, .136</w:t>
            </w:r>
          </w:p>
        </w:tc>
        <w:tc>
          <w:tcPr>
            <w:tcW w:w="711" w:type="dxa"/>
            <w:tcBorders>
              <w:top w:val="nil"/>
              <w:left w:val="nil"/>
              <w:bottom w:val="nil"/>
              <w:right w:val="nil"/>
            </w:tcBorders>
            <w:shd w:val="clear" w:color="auto" w:fill="auto"/>
            <w:noWrap/>
            <w:vAlign w:val="center"/>
            <w:hideMark/>
          </w:tcPr>
          <w:p w14:paraId="0E91B89F"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.98</w:t>
            </w:r>
          </w:p>
        </w:tc>
        <w:tc>
          <w:tcPr>
            <w:tcW w:w="711" w:type="dxa"/>
            <w:tcBorders>
              <w:top w:val="nil"/>
              <w:left w:val="nil"/>
              <w:bottom w:val="nil"/>
              <w:right w:val="nil"/>
            </w:tcBorders>
            <w:shd w:val="clear" w:color="auto" w:fill="auto"/>
            <w:noWrap/>
            <w:vAlign w:val="center"/>
            <w:hideMark/>
          </w:tcPr>
          <w:p w14:paraId="07646144"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.96</w:t>
            </w:r>
          </w:p>
        </w:tc>
      </w:tr>
      <w:tr w:rsidR="00357562" w:rsidRPr="001E52FE" w14:paraId="5848E4A3" w14:textId="77777777" w:rsidTr="00357562">
        <w:trPr>
          <w:trHeight w:val="310"/>
        </w:trPr>
        <w:tc>
          <w:tcPr>
            <w:tcW w:w="2790" w:type="dxa"/>
            <w:tcBorders>
              <w:top w:val="nil"/>
              <w:left w:val="nil"/>
              <w:bottom w:val="nil"/>
              <w:right w:val="nil"/>
            </w:tcBorders>
            <w:shd w:val="clear" w:color="auto" w:fill="auto"/>
            <w:noWrap/>
            <w:vAlign w:val="bottom"/>
            <w:hideMark/>
          </w:tcPr>
          <w:p w14:paraId="1EE387D2" w14:textId="77777777" w:rsidR="00357562" w:rsidRPr="001E52FE" w:rsidRDefault="00357562" w:rsidP="00D00F29">
            <w:pPr>
              <w:rPr>
                <w:rFonts w:eastAsia="Times New Roman" w:cs="Times New Roman"/>
                <w:color w:val="000000"/>
                <w:sz w:val="22"/>
              </w:rPr>
            </w:pPr>
            <w:r w:rsidRPr="001E52FE">
              <w:rPr>
                <w:rFonts w:eastAsia="Times New Roman" w:cs="Times New Roman"/>
                <w:color w:val="000000"/>
                <w:sz w:val="22"/>
              </w:rPr>
              <w:t>Conversation Satisfaction</w:t>
            </w:r>
          </w:p>
        </w:tc>
        <w:tc>
          <w:tcPr>
            <w:tcW w:w="1080" w:type="dxa"/>
            <w:tcBorders>
              <w:top w:val="nil"/>
              <w:left w:val="nil"/>
              <w:bottom w:val="nil"/>
              <w:right w:val="nil"/>
            </w:tcBorders>
          </w:tcPr>
          <w:p w14:paraId="19DE3545" w14:textId="77777777" w:rsidR="00357562" w:rsidRPr="001E52FE" w:rsidRDefault="00357562" w:rsidP="00D00F29">
            <w:pPr>
              <w:jc w:val="right"/>
              <w:rPr>
                <w:rFonts w:eastAsia="Times New Roman" w:cs="Times New Roman"/>
                <w:iCs/>
                <w:color w:val="000000"/>
                <w:sz w:val="22"/>
              </w:rPr>
            </w:pPr>
          </w:p>
        </w:tc>
        <w:tc>
          <w:tcPr>
            <w:tcW w:w="860" w:type="dxa"/>
            <w:tcBorders>
              <w:top w:val="nil"/>
              <w:left w:val="nil"/>
              <w:bottom w:val="nil"/>
              <w:right w:val="nil"/>
            </w:tcBorders>
            <w:shd w:val="clear" w:color="auto" w:fill="auto"/>
            <w:noWrap/>
            <w:vAlign w:val="center"/>
            <w:hideMark/>
          </w:tcPr>
          <w:p w14:paraId="7CAE5175"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33.02</w:t>
            </w:r>
          </w:p>
        </w:tc>
        <w:tc>
          <w:tcPr>
            <w:tcW w:w="436" w:type="dxa"/>
            <w:tcBorders>
              <w:top w:val="nil"/>
              <w:left w:val="nil"/>
              <w:bottom w:val="nil"/>
              <w:right w:val="nil"/>
            </w:tcBorders>
            <w:shd w:val="clear" w:color="auto" w:fill="auto"/>
            <w:noWrap/>
            <w:vAlign w:val="center"/>
            <w:hideMark/>
          </w:tcPr>
          <w:p w14:paraId="4677FAF3"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19</w:t>
            </w:r>
          </w:p>
        </w:tc>
        <w:tc>
          <w:tcPr>
            <w:tcW w:w="900" w:type="dxa"/>
            <w:tcBorders>
              <w:top w:val="nil"/>
              <w:left w:val="nil"/>
              <w:bottom w:val="nil"/>
              <w:right w:val="nil"/>
            </w:tcBorders>
            <w:shd w:val="clear" w:color="auto" w:fill="auto"/>
            <w:noWrap/>
            <w:vAlign w:val="center"/>
            <w:hideMark/>
          </w:tcPr>
          <w:p w14:paraId="03E32974" w14:textId="77777777" w:rsidR="00357562" w:rsidRPr="001E52FE" w:rsidRDefault="00357562" w:rsidP="00D00F29">
            <w:pPr>
              <w:jc w:val="right"/>
              <w:rPr>
                <w:rFonts w:eastAsia="Times New Roman" w:cs="Times New Roman"/>
                <w:iCs/>
                <w:color w:val="000000"/>
                <w:sz w:val="22"/>
              </w:rPr>
            </w:pPr>
            <w:r w:rsidRPr="001E52FE">
              <w:rPr>
                <w:rFonts w:eastAsia="Times New Roman" w:cs="Times New Roman"/>
                <w:iCs/>
                <w:color w:val="000000"/>
                <w:sz w:val="22"/>
              </w:rPr>
              <w:t>.02</w:t>
            </w:r>
          </w:p>
        </w:tc>
        <w:tc>
          <w:tcPr>
            <w:tcW w:w="974" w:type="dxa"/>
            <w:tcBorders>
              <w:top w:val="nil"/>
              <w:left w:val="nil"/>
              <w:bottom w:val="nil"/>
              <w:right w:val="nil"/>
            </w:tcBorders>
            <w:shd w:val="clear" w:color="auto" w:fill="auto"/>
            <w:noWrap/>
            <w:vAlign w:val="center"/>
            <w:hideMark/>
          </w:tcPr>
          <w:p w14:paraId="3CB9ED34"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.050</w:t>
            </w:r>
          </w:p>
        </w:tc>
        <w:tc>
          <w:tcPr>
            <w:tcW w:w="1380" w:type="dxa"/>
            <w:tcBorders>
              <w:top w:val="nil"/>
              <w:left w:val="nil"/>
              <w:bottom w:val="nil"/>
              <w:right w:val="nil"/>
            </w:tcBorders>
            <w:shd w:val="clear" w:color="auto" w:fill="auto"/>
            <w:noWrap/>
            <w:vAlign w:val="center"/>
            <w:hideMark/>
          </w:tcPr>
          <w:p w14:paraId="43CDC838" w14:textId="77777777" w:rsidR="00357562" w:rsidRPr="001E52FE" w:rsidRDefault="00357562" w:rsidP="0075478A">
            <w:pPr>
              <w:jc w:val="center"/>
              <w:rPr>
                <w:rFonts w:eastAsia="Times New Roman" w:cs="Times New Roman"/>
                <w:color w:val="000000"/>
                <w:sz w:val="22"/>
              </w:rPr>
            </w:pPr>
            <w:r w:rsidRPr="001E52FE">
              <w:rPr>
                <w:rFonts w:eastAsia="Times New Roman" w:cs="Times New Roman"/>
                <w:color w:val="000000"/>
                <w:sz w:val="22"/>
              </w:rPr>
              <w:t>.018, .078</w:t>
            </w:r>
          </w:p>
        </w:tc>
        <w:tc>
          <w:tcPr>
            <w:tcW w:w="711" w:type="dxa"/>
            <w:tcBorders>
              <w:top w:val="nil"/>
              <w:left w:val="nil"/>
              <w:bottom w:val="nil"/>
              <w:right w:val="nil"/>
            </w:tcBorders>
            <w:shd w:val="clear" w:color="auto" w:fill="auto"/>
            <w:noWrap/>
            <w:vAlign w:val="center"/>
            <w:hideMark/>
          </w:tcPr>
          <w:p w14:paraId="4886EE80"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.98</w:t>
            </w:r>
          </w:p>
        </w:tc>
        <w:tc>
          <w:tcPr>
            <w:tcW w:w="711" w:type="dxa"/>
            <w:tcBorders>
              <w:top w:val="nil"/>
              <w:left w:val="nil"/>
              <w:bottom w:val="nil"/>
              <w:right w:val="nil"/>
            </w:tcBorders>
            <w:shd w:val="clear" w:color="auto" w:fill="auto"/>
            <w:noWrap/>
            <w:vAlign w:val="center"/>
            <w:hideMark/>
          </w:tcPr>
          <w:p w14:paraId="7B787C63"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.97</w:t>
            </w:r>
          </w:p>
        </w:tc>
      </w:tr>
      <w:tr w:rsidR="00357562" w:rsidRPr="001E52FE" w14:paraId="6B7CB298" w14:textId="77777777" w:rsidTr="00357562">
        <w:trPr>
          <w:trHeight w:val="290"/>
        </w:trPr>
        <w:tc>
          <w:tcPr>
            <w:tcW w:w="2790" w:type="dxa"/>
            <w:tcBorders>
              <w:top w:val="nil"/>
              <w:left w:val="nil"/>
              <w:bottom w:val="nil"/>
              <w:right w:val="nil"/>
            </w:tcBorders>
            <w:shd w:val="clear" w:color="auto" w:fill="auto"/>
            <w:noWrap/>
            <w:vAlign w:val="bottom"/>
            <w:hideMark/>
          </w:tcPr>
          <w:p w14:paraId="7F783906" w14:textId="77777777" w:rsidR="00357562" w:rsidRPr="001E52FE" w:rsidRDefault="00357562" w:rsidP="00D00F29">
            <w:pPr>
              <w:rPr>
                <w:rFonts w:eastAsia="Times New Roman" w:cs="Times New Roman"/>
                <w:b/>
                <w:bCs/>
                <w:color w:val="000000"/>
                <w:sz w:val="22"/>
                <w:u w:val="single"/>
              </w:rPr>
            </w:pPr>
            <w:r w:rsidRPr="001E52FE">
              <w:rPr>
                <w:rFonts w:eastAsia="Times New Roman" w:cs="Times New Roman"/>
                <w:b/>
                <w:bCs/>
                <w:color w:val="000000"/>
                <w:sz w:val="22"/>
                <w:u w:val="single"/>
              </w:rPr>
              <w:t>APIM</w:t>
            </w:r>
          </w:p>
        </w:tc>
        <w:tc>
          <w:tcPr>
            <w:tcW w:w="1080" w:type="dxa"/>
            <w:tcBorders>
              <w:top w:val="nil"/>
              <w:left w:val="nil"/>
              <w:bottom w:val="nil"/>
              <w:right w:val="nil"/>
            </w:tcBorders>
          </w:tcPr>
          <w:p w14:paraId="42308607" w14:textId="77777777" w:rsidR="00357562" w:rsidRPr="001E52FE" w:rsidRDefault="00357562" w:rsidP="00D00F29">
            <w:pPr>
              <w:rPr>
                <w:rFonts w:eastAsia="Times New Roman" w:cs="Times New Roman"/>
                <w:b/>
                <w:bCs/>
                <w:color w:val="000000"/>
                <w:sz w:val="22"/>
                <w:u w:val="single"/>
              </w:rPr>
            </w:pPr>
          </w:p>
        </w:tc>
        <w:tc>
          <w:tcPr>
            <w:tcW w:w="860" w:type="dxa"/>
            <w:tcBorders>
              <w:top w:val="nil"/>
              <w:left w:val="nil"/>
              <w:bottom w:val="nil"/>
              <w:right w:val="nil"/>
            </w:tcBorders>
            <w:shd w:val="clear" w:color="auto" w:fill="auto"/>
            <w:noWrap/>
            <w:vAlign w:val="bottom"/>
            <w:hideMark/>
          </w:tcPr>
          <w:p w14:paraId="5A929548" w14:textId="77777777" w:rsidR="00357562" w:rsidRPr="001E52FE" w:rsidRDefault="00357562" w:rsidP="00D00F29">
            <w:pPr>
              <w:rPr>
                <w:rFonts w:eastAsia="Times New Roman" w:cs="Times New Roman"/>
                <w:b/>
                <w:bCs/>
                <w:color w:val="000000"/>
                <w:sz w:val="22"/>
                <w:u w:val="single"/>
              </w:rPr>
            </w:pPr>
          </w:p>
        </w:tc>
        <w:tc>
          <w:tcPr>
            <w:tcW w:w="436" w:type="dxa"/>
            <w:tcBorders>
              <w:top w:val="nil"/>
              <w:left w:val="nil"/>
              <w:bottom w:val="nil"/>
              <w:right w:val="nil"/>
            </w:tcBorders>
            <w:shd w:val="clear" w:color="auto" w:fill="auto"/>
            <w:noWrap/>
            <w:vAlign w:val="bottom"/>
            <w:hideMark/>
          </w:tcPr>
          <w:p w14:paraId="4475C3B9" w14:textId="77777777" w:rsidR="00357562" w:rsidRPr="001E52FE" w:rsidRDefault="00357562" w:rsidP="00D00F29">
            <w:pPr>
              <w:rPr>
                <w:rFonts w:eastAsia="Times New Roman" w:cs="Times New Roman"/>
                <w:sz w:val="22"/>
              </w:rPr>
            </w:pPr>
          </w:p>
        </w:tc>
        <w:tc>
          <w:tcPr>
            <w:tcW w:w="900" w:type="dxa"/>
            <w:tcBorders>
              <w:top w:val="nil"/>
              <w:left w:val="nil"/>
              <w:bottom w:val="nil"/>
              <w:right w:val="nil"/>
            </w:tcBorders>
            <w:shd w:val="clear" w:color="auto" w:fill="auto"/>
            <w:noWrap/>
            <w:vAlign w:val="bottom"/>
            <w:hideMark/>
          </w:tcPr>
          <w:p w14:paraId="74E25E81" w14:textId="77777777" w:rsidR="00357562" w:rsidRPr="001E52FE" w:rsidRDefault="00357562" w:rsidP="00D00F29">
            <w:pPr>
              <w:rPr>
                <w:rFonts w:eastAsia="Times New Roman" w:cs="Times New Roman"/>
                <w:sz w:val="22"/>
              </w:rPr>
            </w:pPr>
          </w:p>
        </w:tc>
        <w:tc>
          <w:tcPr>
            <w:tcW w:w="974" w:type="dxa"/>
            <w:tcBorders>
              <w:top w:val="nil"/>
              <w:left w:val="nil"/>
              <w:bottom w:val="nil"/>
              <w:right w:val="nil"/>
            </w:tcBorders>
            <w:shd w:val="clear" w:color="auto" w:fill="auto"/>
            <w:noWrap/>
            <w:vAlign w:val="bottom"/>
            <w:hideMark/>
          </w:tcPr>
          <w:p w14:paraId="2B5073F3" w14:textId="77777777" w:rsidR="00357562" w:rsidRPr="001E52FE" w:rsidRDefault="00357562" w:rsidP="00D00F29">
            <w:pPr>
              <w:rPr>
                <w:rFonts w:eastAsia="Times New Roman" w:cs="Times New Roman"/>
                <w:sz w:val="22"/>
              </w:rPr>
            </w:pPr>
          </w:p>
        </w:tc>
        <w:tc>
          <w:tcPr>
            <w:tcW w:w="1380" w:type="dxa"/>
            <w:tcBorders>
              <w:top w:val="nil"/>
              <w:left w:val="nil"/>
              <w:bottom w:val="nil"/>
              <w:right w:val="nil"/>
            </w:tcBorders>
            <w:shd w:val="clear" w:color="auto" w:fill="auto"/>
            <w:noWrap/>
            <w:vAlign w:val="bottom"/>
            <w:hideMark/>
          </w:tcPr>
          <w:p w14:paraId="487CF922" w14:textId="77777777" w:rsidR="00357562" w:rsidRPr="001E52FE" w:rsidRDefault="00357562" w:rsidP="0075478A">
            <w:pPr>
              <w:jc w:val="center"/>
              <w:rPr>
                <w:rFonts w:eastAsia="Times New Roman" w:cs="Times New Roman"/>
                <w:sz w:val="22"/>
              </w:rPr>
            </w:pPr>
          </w:p>
        </w:tc>
        <w:tc>
          <w:tcPr>
            <w:tcW w:w="711" w:type="dxa"/>
            <w:tcBorders>
              <w:top w:val="nil"/>
              <w:left w:val="nil"/>
              <w:bottom w:val="nil"/>
              <w:right w:val="nil"/>
            </w:tcBorders>
            <w:shd w:val="clear" w:color="auto" w:fill="auto"/>
            <w:noWrap/>
            <w:vAlign w:val="bottom"/>
            <w:hideMark/>
          </w:tcPr>
          <w:p w14:paraId="7D6E6E9B" w14:textId="77777777" w:rsidR="00357562" w:rsidRPr="001E52FE" w:rsidRDefault="00357562" w:rsidP="00D00F29">
            <w:pPr>
              <w:rPr>
                <w:rFonts w:eastAsia="Times New Roman" w:cs="Times New Roman"/>
                <w:sz w:val="22"/>
              </w:rPr>
            </w:pPr>
          </w:p>
        </w:tc>
        <w:tc>
          <w:tcPr>
            <w:tcW w:w="711" w:type="dxa"/>
            <w:tcBorders>
              <w:top w:val="nil"/>
              <w:left w:val="nil"/>
              <w:bottom w:val="nil"/>
              <w:right w:val="nil"/>
            </w:tcBorders>
            <w:shd w:val="clear" w:color="auto" w:fill="auto"/>
            <w:noWrap/>
            <w:vAlign w:val="bottom"/>
            <w:hideMark/>
          </w:tcPr>
          <w:p w14:paraId="109627AC" w14:textId="77777777" w:rsidR="00357562" w:rsidRPr="001E52FE" w:rsidRDefault="00357562" w:rsidP="00D00F29">
            <w:pPr>
              <w:rPr>
                <w:rFonts w:eastAsia="Times New Roman" w:cs="Times New Roman"/>
                <w:sz w:val="22"/>
              </w:rPr>
            </w:pPr>
          </w:p>
        </w:tc>
      </w:tr>
      <w:tr w:rsidR="00357562" w:rsidRPr="001E52FE" w14:paraId="71360D0E" w14:textId="77777777" w:rsidTr="00357562">
        <w:trPr>
          <w:trHeight w:val="290"/>
        </w:trPr>
        <w:tc>
          <w:tcPr>
            <w:tcW w:w="2790" w:type="dxa"/>
            <w:tcBorders>
              <w:top w:val="nil"/>
              <w:left w:val="nil"/>
              <w:bottom w:val="nil"/>
              <w:right w:val="nil"/>
            </w:tcBorders>
            <w:shd w:val="clear" w:color="auto" w:fill="auto"/>
            <w:noWrap/>
            <w:vAlign w:val="bottom"/>
            <w:hideMark/>
          </w:tcPr>
          <w:p w14:paraId="29DC6B81" w14:textId="77777777" w:rsidR="00357562" w:rsidRPr="001E52FE" w:rsidRDefault="00357562" w:rsidP="00D00F29">
            <w:pPr>
              <w:rPr>
                <w:rFonts w:eastAsia="Times New Roman" w:cs="Times New Roman"/>
                <w:color w:val="000000"/>
                <w:sz w:val="22"/>
              </w:rPr>
            </w:pPr>
            <w:r w:rsidRPr="001E52FE">
              <w:rPr>
                <w:rFonts w:eastAsia="Times New Roman" w:cs="Times New Roman"/>
                <w:color w:val="000000"/>
                <w:sz w:val="22"/>
              </w:rPr>
              <w:t xml:space="preserve">Independent Perspectives </w:t>
            </w:r>
          </w:p>
        </w:tc>
        <w:tc>
          <w:tcPr>
            <w:tcW w:w="1080" w:type="dxa"/>
            <w:tcBorders>
              <w:top w:val="nil"/>
              <w:left w:val="nil"/>
              <w:bottom w:val="nil"/>
              <w:right w:val="nil"/>
            </w:tcBorders>
          </w:tcPr>
          <w:p w14:paraId="0814F820" w14:textId="77777777" w:rsidR="00357562" w:rsidRPr="001E52FE" w:rsidRDefault="00357562" w:rsidP="00357562">
            <w:pPr>
              <w:rPr>
                <w:rFonts w:eastAsia="Times New Roman" w:cs="Times New Roman"/>
                <w:color w:val="000000"/>
                <w:sz w:val="22"/>
              </w:rPr>
            </w:pPr>
            <w:r w:rsidRPr="001E52FE">
              <w:rPr>
                <w:rFonts w:eastAsia="Times New Roman" w:cs="Times New Roman"/>
                <w:color w:val="000000"/>
                <w:sz w:val="22"/>
              </w:rPr>
              <w:t>Direct</w:t>
            </w:r>
          </w:p>
        </w:tc>
        <w:tc>
          <w:tcPr>
            <w:tcW w:w="860" w:type="dxa"/>
            <w:tcBorders>
              <w:top w:val="nil"/>
              <w:left w:val="nil"/>
              <w:bottom w:val="nil"/>
              <w:right w:val="nil"/>
            </w:tcBorders>
            <w:shd w:val="clear" w:color="auto" w:fill="auto"/>
            <w:noWrap/>
            <w:vAlign w:val="bottom"/>
            <w:hideMark/>
          </w:tcPr>
          <w:p w14:paraId="277FA94F"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41.27</w:t>
            </w:r>
          </w:p>
        </w:tc>
        <w:tc>
          <w:tcPr>
            <w:tcW w:w="436" w:type="dxa"/>
            <w:tcBorders>
              <w:top w:val="nil"/>
              <w:left w:val="nil"/>
              <w:bottom w:val="nil"/>
              <w:right w:val="nil"/>
            </w:tcBorders>
            <w:shd w:val="clear" w:color="auto" w:fill="auto"/>
            <w:noWrap/>
            <w:vAlign w:val="bottom"/>
            <w:hideMark/>
          </w:tcPr>
          <w:p w14:paraId="678F12B0"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20</w:t>
            </w:r>
          </w:p>
        </w:tc>
        <w:tc>
          <w:tcPr>
            <w:tcW w:w="900" w:type="dxa"/>
            <w:tcBorders>
              <w:top w:val="nil"/>
              <w:left w:val="nil"/>
              <w:bottom w:val="nil"/>
              <w:right w:val="nil"/>
            </w:tcBorders>
            <w:shd w:val="clear" w:color="auto" w:fill="auto"/>
            <w:noWrap/>
            <w:vAlign w:val="bottom"/>
            <w:hideMark/>
          </w:tcPr>
          <w:p w14:paraId="76CCE5B7"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iCs/>
                <w:color w:val="000000"/>
                <w:sz w:val="22"/>
              </w:rPr>
              <w:t>.0</w:t>
            </w:r>
            <w:r w:rsidRPr="001E52FE">
              <w:rPr>
                <w:rFonts w:eastAsia="Times New Roman" w:cs="Times New Roman"/>
                <w:color w:val="000000"/>
                <w:sz w:val="22"/>
              </w:rPr>
              <w:t>0</w:t>
            </w:r>
          </w:p>
        </w:tc>
        <w:tc>
          <w:tcPr>
            <w:tcW w:w="974" w:type="dxa"/>
            <w:tcBorders>
              <w:top w:val="nil"/>
              <w:left w:val="nil"/>
              <w:bottom w:val="nil"/>
              <w:right w:val="nil"/>
            </w:tcBorders>
            <w:shd w:val="clear" w:color="auto" w:fill="auto"/>
            <w:noWrap/>
            <w:vAlign w:val="bottom"/>
            <w:hideMark/>
          </w:tcPr>
          <w:p w14:paraId="2D95A062"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.084</w:t>
            </w:r>
          </w:p>
        </w:tc>
        <w:tc>
          <w:tcPr>
            <w:tcW w:w="1380" w:type="dxa"/>
            <w:tcBorders>
              <w:top w:val="nil"/>
              <w:left w:val="nil"/>
              <w:bottom w:val="nil"/>
              <w:right w:val="nil"/>
            </w:tcBorders>
            <w:shd w:val="clear" w:color="auto" w:fill="auto"/>
            <w:noWrap/>
            <w:vAlign w:val="bottom"/>
            <w:hideMark/>
          </w:tcPr>
          <w:p w14:paraId="60368FAA" w14:textId="77777777" w:rsidR="00357562" w:rsidRPr="001E52FE" w:rsidRDefault="00357562" w:rsidP="0075478A">
            <w:pPr>
              <w:jc w:val="center"/>
              <w:rPr>
                <w:rFonts w:eastAsia="Times New Roman" w:cs="Times New Roman"/>
                <w:color w:val="000000"/>
                <w:sz w:val="22"/>
              </w:rPr>
            </w:pPr>
            <w:r w:rsidRPr="001E52FE">
              <w:rPr>
                <w:rFonts w:eastAsia="Times New Roman" w:cs="Times New Roman"/>
                <w:color w:val="000000"/>
                <w:sz w:val="22"/>
              </w:rPr>
              <w:t>.047, .121</w:t>
            </w:r>
          </w:p>
        </w:tc>
        <w:tc>
          <w:tcPr>
            <w:tcW w:w="711" w:type="dxa"/>
            <w:tcBorders>
              <w:top w:val="nil"/>
              <w:left w:val="nil"/>
              <w:bottom w:val="nil"/>
              <w:right w:val="nil"/>
            </w:tcBorders>
            <w:shd w:val="clear" w:color="auto" w:fill="auto"/>
            <w:noWrap/>
            <w:vAlign w:val="bottom"/>
            <w:hideMark/>
          </w:tcPr>
          <w:p w14:paraId="28325236"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.83</w:t>
            </w:r>
          </w:p>
        </w:tc>
        <w:tc>
          <w:tcPr>
            <w:tcW w:w="711" w:type="dxa"/>
            <w:tcBorders>
              <w:top w:val="nil"/>
              <w:left w:val="nil"/>
              <w:bottom w:val="nil"/>
              <w:right w:val="nil"/>
            </w:tcBorders>
            <w:shd w:val="clear" w:color="auto" w:fill="auto"/>
            <w:noWrap/>
            <w:vAlign w:val="bottom"/>
            <w:hideMark/>
          </w:tcPr>
          <w:p w14:paraId="2D88B936"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.55</w:t>
            </w:r>
          </w:p>
        </w:tc>
      </w:tr>
      <w:tr w:rsidR="00357562" w:rsidRPr="001E52FE" w14:paraId="4BC2E2A2" w14:textId="77777777" w:rsidTr="00357562">
        <w:trPr>
          <w:trHeight w:val="290"/>
        </w:trPr>
        <w:tc>
          <w:tcPr>
            <w:tcW w:w="2790" w:type="dxa"/>
            <w:tcBorders>
              <w:top w:val="nil"/>
              <w:left w:val="nil"/>
              <w:bottom w:val="nil"/>
              <w:right w:val="nil"/>
            </w:tcBorders>
            <w:shd w:val="clear" w:color="auto" w:fill="auto"/>
            <w:noWrap/>
            <w:vAlign w:val="bottom"/>
            <w:hideMark/>
          </w:tcPr>
          <w:p w14:paraId="419FB404" w14:textId="77777777" w:rsidR="00357562" w:rsidRPr="001E52FE" w:rsidRDefault="00357562" w:rsidP="00D00F29">
            <w:pPr>
              <w:rPr>
                <w:rFonts w:eastAsia="Times New Roman" w:cs="Times New Roman"/>
                <w:color w:val="000000"/>
                <w:sz w:val="22"/>
              </w:rPr>
            </w:pPr>
          </w:p>
        </w:tc>
        <w:tc>
          <w:tcPr>
            <w:tcW w:w="1080" w:type="dxa"/>
            <w:tcBorders>
              <w:top w:val="nil"/>
              <w:left w:val="nil"/>
              <w:bottom w:val="nil"/>
              <w:right w:val="nil"/>
            </w:tcBorders>
          </w:tcPr>
          <w:p w14:paraId="26C9E6E1" w14:textId="77777777" w:rsidR="00357562" w:rsidRPr="001E52FE" w:rsidRDefault="00357562" w:rsidP="00357562">
            <w:pPr>
              <w:rPr>
                <w:rFonts w:eastAsia="Times New Roman" w:cs="Times New Roman"/>
                <w:color w:val="000000"/>
                <w:sz w:val="22"/>
              </w:rPr>
            </w:pPr>
            <w:r w:rsidRPr="001E52FE">
              <w:rPr>
                <w:rFonts w:eastAsia="Times New Roman" w:cs="Times New Roman"/>
                <w:color w:val="000000"/>
                <w:sz w:val="22"/>
              </w:rPr>
              <w:t>No direct</w:t>
            </w:r>
          </w:p>
        </w:tc>
        <w:tc>
          <w:tcPr>
            <w:tcW w:w="860" w:type="dxa"/>
            <w:tcBorders>
              <w:top w:val="nil"/>
              <w:left w:val="nil"/>
              <w:bottom w:val="nil"/>
              <w:right w:val="nil"/>
            </w:tcBorders>
            <w:shd w:val="clear" w:color="auto" w:fill="auto"/>
            <w:noWrap/>
            <w:vAlign w:val="bottom"/>
            <w:hideMark/>
          </w:tcPr>
          <w:p w14:paraId="2AAB0F05"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57.53</w:t>
            </w:r>
          </w:p>
        </w:tc>
        <w:tc>
          <w:tcPr>
            <w:tcW w:w="436" w:type="dxa"/>
            <w:tcBorders>
              <w:top w:val="nil"/>
              <w:left w:val="nil"/>
              <w:bottom w:val="nil"/>
              <w:right w:val="nil"/>
            </w:tcBorders>
            <w:shd w:val="clear" w:color="auto" w:fill="auto"/>
            <w:noWrap/>
            <w:vAlign w:val="bottom"/>
            <w:hideMark/>
          </w:tcPr>
          <w:p w14:paraId="7F6BFF04"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26</w:t>
            </w:r>
          </w:p>
        </w:tc>
        <w:tc>
          <w:tcPr>
            <w:tcW w:w="900" w:type="dxa"/>
            <w:tcBorders>
              <w:top w:val="nil"/>
              <w:left w:val="nil"/>
              <w:bottom w:val="nil"/>
              <w:right w:val="nil"/>
            </w:tcBorders>
            <w:shd w:val="clear" w:color="auto" w:fill="auto"/>
            <w:noWrap/>
            <w:vAlign w:val="bottom"/>
            <w:hideMark/>
          </w:tcPr>
          <w:p w14:paraId="6D23323D"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iCs/>
                <w:color w:val="000000"/>
                <w:sz w:val="22"/>
              </w:rPr>
              <w:t>.0</w:t>
            </w:r>
            <w:r w:rsidRPr="001E52FE">
              <w:rPr>
                <w:rFonts w:eastAsia="Times New Roman" w:cs="Times New Roman"/>
                <w:color w:val="000000"/>
                <w:sz w:val="22"/>
              </w:rPr>
              <w:t>0</w:t>
            </w:r>
          </w:p>
        </w:tc>
        <w:tc>
          <w:tcPr>
            <w:tcW w:w="974" w:type="dxa"/>
            <w:tcBorders>
              <w:top w:val="nil"/>
              <w:left w:val="nil"/>
              <w:bottom w:val="nil"/>
              <w:right w:val="nil"/>
            </w:tcBorders>
            <w:shd w:val="clear" w:color="auto" w:fill="auto"/>
            <w:noWrap/>
            <w:vAlign w:val="bottom"/>
            <w:hideMark/>
          </w:tcPr>
          <w:p w14:paraId="7A4B3CAD"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.090</w:t>
            </w:r>
          </w:p>
        </w:tc>
        <w:tc>
          <w:tcPr>
            <w:tcW w:w="1380" w:type="dxa"/>
            <w:tcBorders>
              <w:top w:val="nil"/>
              <w:left w:val="nil"/>
              <w:bottom w:val="nil"/>
              <w:right w:val="nil"/>
            </w:tcBorders>
            <w:shd w:val="clear" w:color="auto" w:fill="auto"/>
            <w:noWrap/>
            <w:vAlign w:val="bottom"/>
            <w:hideMark/>
          </w:tcPr>
          <w:p w14:paraId="3363B60E" w14:textId="77777777" w:rsidR="00357562" w:rsidRPr="001E52FE" w:rsidRDefault="00357562" w:rsidP="0075478A">
            <w:pPr>
              <w:jc w:val="center"/>
              <w:rPr>
                <w:rFonts w:eastAsia="Times New Roman" w:cs="Times New Roman"/>
                <w:color w:val="000000"/>
                <w:sz w:val="22"/>
              </w:rPr>
            </w:pPr>
            <w:r w:rsidRPr="001E52FE">
              <w:rPr>
                <w:rFonts w:eastAsia="Times New Roman" w:cs="Times New Roman"/>
                <w:color w:val="000000"/>
                <w:sz w:val="22"/>
              </w:rPr>
              <w:t>.059, .122</w:t>
            </w:r>
          </w:p>
        </w:tc>
        <w:tc>
          <w:tcPr>
            <w:tcW w:w="711" w:type="dxa"/>
            <w:tcBorders>
              <w:top w:val="nil"/>
              <w:left w:val="nil"/>
              <w:bottom w:val="nil"/>
              <w:right w:val="nil"/>
            </w:tcBorders>
            <w:shd w:val="clear" w:color="auto" w:fill="auto"/>
            <w:noWrap/>
            <w:vAlign w:val="bottom"/>
            <w:hideMark/>
          </w:tcPr>
          <w:p w14:paraId="134BFEA5"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.75</w:t>
            </w:r>
          </w:p>
        </w:tc>
        <w:tc>
          <w:tcPr>
            <w:tcW w:w="711" w:type="dxa"/>
            <w:tcBorders>
              <w:top w:val="nil"/>
              <w:left w:val="nil"/>
              <w:bottom w:val="nil"/>
              <w:right w:val="nil"/>
            </w:tcBorders>
            <w:shd w:val="clear" w:color="auto" w:fill="auto"/>
            <w:noWrap/>
            <w:vAlign w:val="bottom"/>
            <w:hideMark/>
          </w:tcPr>
          <w:p w14:paraId="6574C553" w14:textId="77777777" w:rsidR="00357562" w:rsidRPr="001E52FE" w:rsidRDefault="00357562" w:rsidP="00D00F29">
            <w:pPr>
              <w:jc w:val="right"/>
              <w:rPr>
                <w:rFonts w:eastAsia="Times New Roman" w:cs="Times New Roman"/>
                <w:color w:val="000000"/>
                <w:sz w:val="22"/>
              </w:rPr>
            </w:pPr>
            <w:r w:rsidRPr="001E52FE">
              <w:rPr>
                <w:rFonts w:eastAsia="Times New Roman" w:cs="Times New Roman"/>
                <w:color w:val="000000"/>
                <w:sz w:val="22"/>
              </w:rPr>
              <w:t>.48</w:t>
            </w:r>
          </w:p>
        </w:tc>
      </w:tr>
      <w:tr w:rsidR="00AF1038" w:rsidRPr="001E52FE" w14:paraId="12DD2DF4" w14:textId="77777777" w:rsidTr="00357562">
        <w:trPr>
          <w:trHeight w:val="290"/>
        </w:trPr>
        <w:tc>
          <w:tcPr>
            <w:tcW w:w="2790" w:type="dxa"/>
            <w:tcBorders>
              <w:top w:val="nil"/>
              <w:left w:val="nil"/>
              <w:bottom w:val="nil"/>
              <w:right w:val="nil"/>
            </w:tcBorders>
            <w:shd w:val="clear" w:color="auto" w:fill="auto"/>
            <w:noWrap/>
            <w:vAlign w:val="bottom"/>
            <w:hideMark/>
          </w:tcPr>
          <w:p w14:paraId="0E7D46C2" w14:textId="77777777" w:rsidR="00AF1038" w:rsidRPr="001E52FE" w:rsidRDefault="00AF1038" w:rsidP="00AF1038">
            <w:pPr>
              <w:rPr>
                <w:rFonts w:eastAsia="Times New Roman" w:cs="Times New Roman"/>
                <w:color w:val="000000"/>
                <w:sz w:val="22"/>
              </w:rPr>
            </w:pPr>
            <w:r w:rsidRPr="001E52FE">
              <w:rPr>
                <w:rFonts w:eastAsia="Times New Roman" w:cs="Times New Roman"/>
                <w:color w:val="000000"/>
                <w:sz w:val="22"/>
              </w:rPr>
              <w:t>Recipient-Dominant</w:t>
            </w:r>
          </w:p>
        </w:tc>
        <w:tc>
          <w:tcPr>
            <w:tcW w:w="1080" w:type="dxa"/>
            <w:tcBorders>
              <w:top w:val="nil"/>
              <w:left w:val="nil"/>
              <w:bottom w:val="nil"/>
              <w:right w:val="nil"/>
            </w:tcBorders>
          </w:tcPr>
          <w:p w14:paraId="77103526" w14:textId="77777777" w:rsidR="00AF1038" w:rsidRPr="001E52FE" w:rsidRDefault="00AF1038" w:rsidP="00AF1038">
            <w:pPr>
              <w:rPr>
                <w:rFonts w:eastAsia="Times New Roman" w:cs="Times New Roman"/>
                <w:color w:val="000000"/>
                <w:sz w:val="22"/>
              </w:rPr>
            </w:pPr>
            <w:r w:rsidRPr="001E52FE">
              <w:rPr>
                <w:rFonts w:eastAsia="Times New Roman" w:cs="Times New Roman"/>
                <w:color w:val="000000"/>
                <w:sz w:val="22"/>
              </w:rPr>
              <w:t>Direct</w:t>
            </w:r>
          </w:p>
        </w:tc>
        <w:tc>
          <w:tcPr>
            <w:tcW w:w="860" w:type="dxa"/>
            <w:tcBorders>
              <w:top w:val="nil"/>
              <w:left w:val="nil"/>
              <w:bottom w:val="nil"/>
              <w:right w:val="nil"/>
            </w:tcBorders>
            <w:shd w:val="clear" w:color="auto" w:fill="auto"/>
            <w:noWrap/>
            <w:vAlign w:val="bottom"/>
            <w:hideMark/>
          </w:tcPr>
          <w:p w14:paraId="43D3E73E" w14:textId="5E8D693D" w:rsidR="00AF1038" w:rsidRPr="001E52FE" w:rsidRDefault="00A04C6C" w:rsidP="00AF1038">
            <w:pPr>
              <w:jc w:val="right"/>
              <w:rPr>
                <w:rFonts w:eastAsia="Times New Roman" w:cs="Times New Roman"/>
                <w:color w:val="000000"/>
                <w:sz w:val="22"/>
              </w:rPr>
            </w:pPr>
            <w:r w:rsidRPr="001E52FE">
              <w:rPr>
                <w:rFonts w:eastAsia="Times New Roman" w:cs="Times New Roman"/>
                <w:color w:val="000000"/>
                <w:sz w:val="22"/>
              </w:rPr>
              <w:t>38</w:t>
            </w:r>
            <w:r w:rsidR="00AF1038" w:rsidRPr="001E52FE">
              <w:rPr>
                <w:rFonts w:eastAsia="Times New Roman" w:cs="Times New Roman"/>
                <w:color w:val="000000"/>
                <w:sz w:val="22"/>
              </w:rPr>
              <w:t>.</w:t>
            </w:r>
            <w:r w:rsidRPr="001E52FE">
              <w:rPr>
                <w:rFonts w:eastAsia="Times New Roman" w:cs="Times New Roman"/>
                <w:color w:val="000000"/>
                <w:sz w:val="22"/>
              </w:rPr>
              <w:t>52</w:t>
            </w:r>
          </w:p>
        </w:tc>
        <w:tc>
          <w:tcPr>
            <w:tcW w:w="436" w:type="dxa"/>
            <w:tcBorders>
              <w:top w:val="nil"/>
              <w:left w:val="nil"/>
              <w:bottom w:val="nil"/>
              <w:right w:val="nil"/>
            </w:tcBorders>
            <w:shd w:val="clear" w:color="auto" w:fill="auto"/>
            <w:noWrap/>
            <w:vAlign w:val="bottom"/>
            <w:hideMark/>
          </w:tcPr>
          <w:p w14:paraId="335B19DB" w14:textId="77777777" w:rsidR="00AF1038" w:rsidRPr="001E52FE" w:rsidRDefault="00AF1038" w:rsidP="00AF1038">
            <w:pPr>
              <w:jc w:val="right"/>
              <w:rPr>
                <w:rFonts w:eastAsia="Times New Roman" w:cs="Times New Roman"/>
                <w:color w:val="000000"/>
                <w:sz w:val="22"/>
              </w:rPr>
            </w:pPr>
            <w:r w:rsidRPr="001E52FE">
              <w:rPr>
                <w:rFonts w:eastAsia="Times New Roman" w:cs="Times New Roman"/>
                <w:color w:val="000000"/>
                <w:sz w:val="22"/>
              </w:rPr>
              <w:t>16</w:t>
            </w:r>
          </w:p>
        </w:tc>
        <w:tc>
          <w:tcPr>
            <w:tcW w:w="900" w:type="dxa"/>
            <w:tcBorders>
              <w:top w:val="nil"/>
              <w:left w:val="nil"/>
              <w:bottom w:val="nil"/>
              <w:right w:val="nil"/>
            </w:tcBorders>
            <w:shd w:val="clear" w:color="auto" w:fill="auto"/>
            <w:noWrap/>
            <w:vAlign w:val="bottom"/>
            <w:hideMark/>
          </w:tcPr>
          <w:p w14:paraId="48FBA25A" w14:textId="77777777" w:rsidR="00AF1038" w:rsidRPr="001E52FE" w:rsidRDefault="00AF1038" w:rsidP="00AF1038">
            <w:pPr>
              <w:jc w:val="right"/>
              <w:rPr>
                <w:rFonts w:eastAsia="Times New Roman" w:cs="Times New Roman"/>
                <w:color w:val="000000"/>
                <w:sz w:val="22"/>
              </w:rPr>
            </w:pPr>
            <w:r w:rsidRPr="001E52FE">
              <w:rPr>
                <w:rFonts w:eastAsia="Times New Roman" w:cs="Times New Roman"/>
                <w:iCs/>
                <w:color w:val="000000"/>
                <w:sz w:val="22"/>
              </w:rPr>
              <w:t>.0</w:t>
            </w:r>
            <w:r w:rsidRPr="001E52FE">
              <w:rPr>
                <w:rFonts w:eastAsia="Times New Roman" w:cs="Times New Roman"/>
                <w:color w:val="000000"/>
                <w:sz w:val="22"/>
              </w:rPr>
              <w:t>0</w:t>
            </w:r>
          </w:p>
        </w:tc>
        <w:tc>
          <w:tcPr>
            <w:tcW w:w="974" w:type="dxa"/>
            <w:tcBorders>
              <w:top w:val="nil"/>
              <w:left w:val="nil"/>
              <w:bottom w:val="nil"/>
              <w:right w:val="nil"/>
            </w:tcBorders>
            <w:shd w:val="clear" w:color="auto" w:fill="auto"/>
            <w:noWrap/>
            <w:vAlign w:val="bottom"/>
            <w:hideMark/>
          </w:tcPr>
          <w:p w14:paraId="78902E95" w14:textId="6AD8AE88" w:rsidR="00AF1038" w:rsidRPr="001E52FE" w:rsidRDefault="00A04C6C" w:rsidP="00AF1038">
            <w:pPr>
              <w:jc w:val="right"/>
              <w:rPr>
                <w:rFonts w:eastAsia="Times New Roman" w:cs="Times New Roman"/>
                <w:color w:val="000000"/>
                <w:sz w:val="22"/>
              </w:rPr>
            </w:pPr>
            <w:r w:rsidRPr="001E52FE">
              <w:rPr>
                <w:rFonts w:eastAsia="Times New Roman" w:cs="Times New Roman"/>
                <w:color w:val="000000"/>
                <w:sz w:val="22"/>
              </w:rPr>
              <w:t>.097</w:t>
            </w:r>
          </w:p>
        </w:tc>
        <w:tc>
          <w:tcPr>
            <w:tcW w:w="1380" w:type="dxa"/>
            <w:tcBorders>
              <w:top w:val="nil"/>
              <w:left w:val="nil"/>
              <w:bottom w:val="nil"/>
              <w:right w:val="nil"/>
            </w:tcBorders>
            <w:shd w:val="clear" w:color="auto" w:fill="auto"/>
            <w:noWrap/>
            <w:vAlign w:val="bottom"/>
            <w:hideMark/>
          </w:tcPr>
          <w:p w14:paraId="4E580CCE" w14:textId="2D439990" w:rsidR="00AF1038" w:rsidRPr="001E52FE" w:rsidRDefault="00A04C6C" w:rsidP="0075478A">
            <w:pPr>
              <w:jc w:val="center"/>
              <w:rPr>
                <w:rFonts w:eastAsia="Times New Roman" w:cs="Times New Roman"/>
                <w:color w:val="000000"/>
                <w:sz w:val="22"/>
              </w:rPr>
            </w:pPr>
            <w:r w:rsidRPr="001E52FE">
              <w:rPr>
                <w:rFonts w:eastAsia="Times New Roman" w:cs="Times New Roman"/>
                <w:color w:val="000000"/>
                <w:sz w:val="22"/>
              </w:rPr>
              <w:t>.058, .137</w:t>
            </w:r>
          </w:p>
        </w:tc>
        <w:tc>
          <w:tcPr>
            <w:tcW w:w="711" w:type="dxa"/>
            <w:tcBorders>
              <w:top w:val="nil"/>
              <w:left w:val="nil"/>
              <w:bottom w:val="nil"/>
              <w:right w:val="nil"/>
            </w:tcBorders>
            <w:shd w:val="clear" w:color="auto" w:fill="auto"/>
            <w:noWrap/>
            <w:vAlign w:val="bottom"/>
            <w:hideMark/>
          </w:tcPr>
          <w:p w14:paraId="22F00C49" w14:textId="2DFA639B" w:rsidR="00AF1038" w:rsidRPr="001E52FE" w:rsidRDefault="00FE600D" w:rsidP="00AF1038">
            <w:pPr>
              <w:jc w:val="right"/>
              <w:rPr>
                <w:rFonts w:eastAsia="Times New Roman" w:cs="Times New Roman"/>
                <w:color w:val="000000"/>
                <w:sz w:val="22"/>
              </w:rPr>
            </w:pPr>
            <w:r w:rsidRPr="001E52FE">
              <w:rPr>
                <w:rFonts w:eastAsia="Times New Roman" w:cs="Times New Roman"/>
                <w:color w:val="000000"/>
                <w:sz w:val="22"/>
              </w:rPr>
              <w:t>.96</w:t>
            </w:r>
          </w:p>
        </w:tc>
        <w:tc>
          <w:tcPr>
            <w:tcW w:w="711" w:type="dxa"/>
            <w:tcBorders>
              <w:top w:val="nil"/>
              <w:left w:val="nil"/>
              <w:bottom w:val="nil"/>
              <w:right w:val="nil"/>
            </w:tcBorders>
            <w:shd w:val="clear" w:color="auto" w:fill="auto"/>
            <w:noWrap/>
            <w:vAlign w:val="bottom"/>
            <w:hideMark/>
          </w:tcPr>
          <w:p w14:paraId="6E141100" w14:textId="3406C751" w:rsidR="00AF1038" w:rsidRPr="001E52FE" w:rsidRDefault="00FE600D" w:rsidP="00AF1038">
            <w:pPr>
              <w:jc w:val="right"/>
              <w:rPr>
                <w:rFonts w:eastAsia="Times New Roman" w:cs="Times New Roman"/>
                <w:color w:val="000000"/>
                <w:sz w:val="22"/>
              </w:rPr>
            </w:pPr>
            <w:r w:rsidRPr="001E52FE">
              <w:rPr>
                <w:rFonts w:eastAsia="Times New Roman" w:cs="Times New Roman"/>
                <w:color w:val="000000"/>
                <w:sz w:val="22"/>
              </w:rPr>
              <w:t>.75</w:t>
            </w:r>
          </w:p>
        </w:tc>
      </w:tr>
      <w:tr w:rsidR="00AF1038" w:rsidRPr="001E52FE" w14:paraId="35154EDC" w14:textId="77777777" w:rsidTr="00357562">
        <w:trPr>
          <w:trHeight w:val="290"/>
        </w:trPr>
        <w:tc>
          <w:tcPr>
            <w:tcW w:w="2790" w:type="dxa"/>
            <w:tcBorders>
              <w:top w:val="nil"/>
              <w:left w:val="nil"/>
              <w:bottom w:val="nil"/>
              <w:right w:val="nil"/>
            </w:tcBorders>
            <w:shd w:val="clear" w:color="auto" w:fill="auto"/>
            <w:noWrap/>
            <w:vAlign w:val="bottom"/>
            <w:hideMark/>
          </w:tcPr>
          <w:p w14:paraId="4A38B458" w14:textId="77777777" w:rsidR="00AF1038" w:rsidRPr="001E52FE" w:rsidRDefault="00AF1038" w:rsidP="00AF1038">
            <w:pPr>
              <w:rPr>
                <w:rFonts w:eastAsia="Times New Roman" w:cs="Times New Roman"/>
                <w:color w:val="000000"/>
                <w:sz w:val="22"/>
              </w:rPr>
            </w:pPr>
          </w:p>
        </w:tc>
        <w:tc>
          <w:tcPr>
            <w:tcW w:w="1080" w:type="dxa"/>
            <w:tcBorders>
              <w:top w:val="nil"/>
              <w:left w:val="nil"/>
              <w:bottom w:val="nil"/>
              <w:right w:val="nil"/>
            </w:tcBorders>
          </w:tcPr>
          <w:p w14:paraId="7C6B717A" w14:textId="77777777" w:rsidR="00AF1038" w:rsidRPr="001E52FE" w:rsidRDefault="00AF1038" w:rsidP="00AF1038">
            <w:pPr>
              <w:rPr>
                <w:rFonts w:eastAsia="Times New Roman" w:cs="Times New Roman"/>
                <w:color w:val="000000"/>
                <w:sz w:val="22"/>
              </w:rPr>
            </w:pPr>
            <w:r w:rsidRPr="001E52FE">
              <w:rPr>
                <w:rFonts w:eastAsia="Times New Roman" w:cs="Times New Roman"/>
                <w:color w:val="000000"/>
                <w:sz w:val="22"/>
              </w:rPr>
              <w:t>No direct</w:t>
            </w:r>
          </w:p>
        </w:tc>
        <w:tc>
          <w:tcPr>
            <w:tcW w:w="860" w:type="dxa"/>
            <w:tcBorders>
              <w:top w:val="nil"/>
              <w:left w:val="nil"/>
              <w:bottom w:val="nil"/>
              <w:right w:val="nil"/>
            </w:tcBorders>
            <w:shd w:val="clear" w:color="auto" w:fill="auto"/>
            <w:noWrap/>
            <w:vAlign w:val="bottom"/>
            <w:hideMark/>
          </w:tcPr>
          <w:p w14:paraId="40ED4989" w14:textId="469F52DD" w:rsidR="00AF1038" w:rsidRPr="001E52FE" w:rsidRDefault="00B47D84" w:rsidP="00AF1038">
            <w:pPr>
              <w:jc w:val="right"/>
              <w:rPr>
                <w:rFonts w:eastAsia="Times New Roman" w:cs="Times New Roman"/>
                <w:color w:val="000000"/>
                <w:sz w:val="22"/>
              </w:rPr>
            </w:pPr>
            <w:r w:rsidRPr="001E52FE">
              <w:rPr>
                <w:rFonts w:eastAsia="Times New Roman" w:cs="Times New Roman"/>
                <w:color w:val="000000"/>
                <w:sz w:val="22"/>
              </w:rPr>
              <w:t>61.42</w:t>
            </w:r>
          </w:p>
        </w:tc>
        <w:tc>
          <w:tcPr>
            <w:tcW w:w="436" w:type="dxa"/>
            <w:tcBorders>
              <w:top w:val="nil"/>
              <w:left w:val="nil"/>
              <w:bottom w:val="nil"/>
              <w:right w:val="nil"/>
            </w:tcBorders>
            <w:shd w:val="clear" w:color="auto" w:fill="auto"/>
            <w:noWrap/>
            <w:vAlign w:val="bottom"/>
            <w:hideMark/>
          </w:tcPr>
          <w:p w14:paraId="6A2ADC1E" w14:textId="2FC446E1" w:rsidR="00AF1038" w:rsidRPr="001E52FE" w:rsidRDefault="00AF1038" w:rsidP="00AF1038">
            <w:pPr>
              <w:jc w:val="right"/>
              <w:rPr>
                <w:rFonts w:eastAsia="Times New Roman" w:cs="Times New Roman"/>
                <w:color w:val="000000"/>
                <w:sz w:val="22"/>
              </w:rPr>
            </w:pPr>
            <w:r w:rsidRPr="001E52FE">
              <w:rPr>
                <w:rFonts w:eastAsia="Times New Roman" w:cs="Times New Roman"/>
                <w:color w:val="000000"/>
                <w:sz w:val="22"/>
              </w:rPr>
              <w:t>2</w:t>
            </w:r>
            <w:r w:rsidR="008130BD" w:rsidRPr="001E52FE">
              <w:rPr>
                <w:rFonts w:eastAsia="Times New Roman" w:cs="Times New Roman"/>
                <w:color w:val="000000"/>
                <w:sz w:val="22"/>
              </w:rPr>
              <w:t>4</w:t>
            </w:r>
          </w:p>
        </w:tc>
        <w:tc>
          <w:tcPr>
            <w:tcW w:w="900" w:type="dxa"/>
            <w:tcBorders>
              <w:top w:val="nil"/>
              <w:left w:val="nil"/>
              <w:bottom w:val="nil"/>
              <w:right w:val="nil"/>
            </w:tcBorders>
            <w:shd w:val="clear" w:color="auto" w:fill="auto"/>
            <w:noWrap/>
            <w:vAlign w:val="bottom"/>
            <w:hideMark/>
          </w:tcPr>
          <w:p w14:paraId="094B5274" w14:textId="77777777" w:rsidR="00AF1038" w:rsidRPr="001E52FE" w:rsidRDefault="00AF1038" w:rsidP="00AF1038">
            <w:pPr>
              <w:jc w:val="right"/>
              <w:rPr>
                <w:rFonts w:eastAsia="Times New Roman" w:cs="Times New Roman"/>
                <w:color w:val="000000"/>
                <w:sz w:val="22"/>
              </w:rPr>
            </w:pPr>
            <w:r w:rsidRPr="001E52FE">
              <w:rPr>
                <w:rFonts w:eastAsia="Times New Roman" w:cs="Times New Roman"/>
                <w:iCs/>
                <w:color w:val="000000"/>
                <w:sz w:val="22"/>
              </w:rPr>
              <w:t>.0</w:t>
            </w:r>
            <w:r w:rsidRPr="001E52FE">
              <w:rPr>
                <w:rFonts w:eastAsia="Times New Roman" w:cs="Times New Roman"/>
                <w:color w:val="000000"/>
                <w:sz w:val="22"/>
              </w:rPr>
              <w:t>0</w:t>
            </w:r>
          </w:p>
        </w:tc>
        <w:tc>
          <w:tcPr>
            <w:tcW w:w="974" w:type="dxa"/>
            <w:tcBorders>
              <w:top w:val="nil"/>
              <w:left w:val="nil"/>
              <w:bottom w:val="nil"/>
              <w:right w:val="nil"/>
            </w:tcBorders>
            <w:shd w:val="clear" w:color="auto" w:fill="auto"/>
            <w:noWrap/>
            <w:vAlign w:val="bottom"/>
            <w:hideMark/>
          </w:tcPr>
          <w:p w14:paraId="29A6E0AB" w14:textId="3C360B62" w:rsidR="00AF1038" w:rsidRPr="001E52FE" w:rsidRDefault="00B47D84" w:rsidP="00AF1038">
            <w:pPr>
              <w:jc w:val="right"/>
              <w:rPr>
                <w:rFonts w:eastAsia="Times New Roman" w:cs="Times New Roman"/>
                <w:color w:val="000000"/>
                <w:sz w:val="22"/>
              </w:rPr>
            </w:pPr>
            <w:r w:rsidRPr="001E52FE">
              <w:rPr>
                <w:rFonts w:eastAsia="Times New Roman" w:cs="Times New Roman"/>
                <w:color w:val="000000"/>
                <w:sz w:val="22"/>
              </w:rPr>
              <w:t>.102</w:t>
            </w:r>
          </w:p>
        </w:tc>
        <w:tc>
          <w:tcPr>
            <w:tcW w:w="1380" w:type="dxa"/>
            <w:tcBorders>
              <w:top w:val="nil"/>
              <w:left w:val="nil"/>
              <w:bottom w:val="nil"/>
              <w:right w:val="nil"/>
            </w:tcBorders>
            <w:shd w:val="clear" w:color="auto" w:fill="auto"/>
            <w:noWrap/>
            <w:vAlign w:val="bottom"/>
            <w:hideMark/>
          </w:tcPr>
          <w:p w14:paraId="0205C044" w14:textId="47CA3A2F" w:rsidR="00AF1038" w:rsidRPr="001E52FE" w:rsidRDefault="00B47D84" w:rsidP="0075478A">
            <w:pPr>
              <w:jc w:val="center"/>
              <w:rPr>
                <w:rFonts w:eastAsia="Times New Roman" w:cs="Times New Roman"/>
                <w:color w:val="000000"/>
                <w:sz w:val="22"/>
              </w:rPr>
            </w:pPr>
            <w:r w:rsidRPr="001E52FE">
              <w:rPr>
                <w:rFonts w:eastAsia="Times New Roman" w:cs="Times New Roman"/>
                <w:color w:val="000000"/>
                <w:sz w:val="22"/>
              </w:rPr>
              <w:t>.071</w:t>
            </w:r>
            <w:r w:rsidR="00AF1038" w:rsidRPr="001E52FE">
              <w:rPr>
                <w:rFonts w:eastAsia="Times New Roman" w:cs="Times New Roman"/>
                <w:color w:val="000000"/>
                <w:sz w:val="22"/>
              </w:rPr>
              <w:t>, .1</w:t>
            </w:r>
            <w:r w:rsidRPr="001E52FE">
              <w:rPr>
                <w:rFonts w:eastAsia="Times New Roman" w:cs="Times New Roman"/>
                <w:color w:val="000000"/>
                <w:sz w:val="22"/>
              </w:rPr>
              <w:t>34</w:t>
            </w:r>
          </w:p>
        </w:tc>
        <w:tc>
          <w:tcPr>
            <w:tcW w:w="711" w:type="dxa"/>
            <w:tcBorders>
              <w:top w:val="nil"/>
              <w:left w:val="nil"/>
              <w:bottom w:val="nil"/>
              <w:right w:val="nil"/>
            </w:tcBorders>
            <w:shd w:val="clear" w:color="auto" w:fill="auto"/>
            <w:noWrap/>
            <w:vAlign w:val="bottom"/>
            <w:hideMark/>
          </w:tcPr>
          <w:p w14:paraId="31AD9066" w14:textId="32198B34" w:rsidR="00AF1038" w:rsidRPr="001E52FE" w:rsidRDefault="002F692D" w:rsidP="00AF1038">
            <w:pPr>
              <w:jc w:val="right"/>
              <w:rPr>
                <w:rFonts w:eastAsia="Times New Roman" w:cs="Times New Roman"/>
                <w:color w:val="000000"/>
                <w:sz w:val="22"/>
              </w:rPr>
            </w:pPr>
            <w:r w:rsidRPr="001E52FE">
              <w:rPr>
                <w:rFonts w:eastAsia="Times New Roman" w:cs="Times New Roman"/>
                <w:color w:val="000000"/>
                <w:sz w:val="22"/>
              </w:rPr>
              <w:t>.93</w:t>
            </w:r>
          </w:p>
        </w:tc>
        <w:tc>
          <w:tcPr>
            <w:tcW w:w="711" w:type="dxa"/>
            <w:tcBorders>
              <w:top w:val="nil"/>
              <w:left w:val="nil"/>
              <w:bottom w:val="nil"/>
              <w:right w:val="nil"/>
            </w:tcBorders>
            <w:shd w:val="clear" w:color="auto" w:fill="auto"/>
            <w:noWrap/>
            <w:vAlign w:val="bottom"/>
            <w:hideMark/>
          </w:tcPr>
          <w:p w14:paraId="6A896C86" w14:textId="3F6F1FD3" w:rsidR="00AF1038" w:rsidRPr="001E52FE" w:rsidRDefault="002F692D" w:rsidP="00AF1038">
            <w:pPr>
              <w:jc w:val="right"/>
              <w:rPr>
                <w:rFonts w:eastAsia="Times New Roman" w:cs="Times New Roman"/>
                <w:color w:val="000000"/>
                <w:sz w:val="22"/>
              </w:rPr>
            </w:pPr>
            <w:r w:rsidRPr="001E52FE">
              <w:rPr>
                <w:rFonts w:eastAsia="Times New Roman" w:cs="Times New Roman"/>
                <w:color w:val="000000"/>
                <w:sz w:val="22"/>
              </w:rPr>
              <w:t>.73</w:t>
            </w:r>
          </w:p>
        </w:tc>
      </w:tr>
      <w:tr w:rsidR="00AF1038" w:rsidRPr="001E52FE" w14:paraId="4FEDA5D4" w14:textId="77777777" w:rsidTr="00357562">
        <w:trPr>
          <w:trHeight w:val="290"/>
        </w:trPr>
        <w:tc>
          <w:tcPr>
            <w:tcW w:w="2790" w:type="dxa"/>
            <w:tcBorders>
              <w:top w:val="nil"/>
              <w:left w:val="nil"/>
              <w:bottom w:val="nil"/>
              <w:right w:val="nil"/>
            </w:tcBorders>
            <w:shd w:val="clear" w:color="auto" w:fill="auto"/>
            <w:noWrap/>
            <w:vAlign w:val="bottom"/>
            <w:hideMark/>
          </w:tcPr>
          <w:p w14:paraId="0D7F2345" w14:textId="77777777" w:rsidR="00AF1038" w:rsidRPr="001E52FE" w:rsidRDefault="002475CC" w:rsidP="00AF1038">
            <w:pPr>
              <w:rPr>
                <w:rFonts w:eastAsia="Times New Roman" w:cs="Times New Roman"/>
                <w:color w:val="000000"/>
                <w:sz w:val="22"/>
              </w:rPr>
            </w:pPr>
            <w:r w:rsidRPr="001E52FE">
              <w:rPr>
                <w:rFonts w:eastAsia="Times New Roman" w:cs="Times New Roman"/>
                <w:color w:val="000000"/>
                <w:sz w:val="22"/>
              </w:rPr>
              <w:t>Mutual Influence</w:t>
            </w:r>
          </w:p>
        </w:tc>
        <w:tc>
          <w:tcPr>
            <w:tcW w:w="1080" w:type="dxa"/>
            <w:tcBorders>
              <w:top w:val="nil"/>
              <w:left w:val="nil"/>
              <w:bottom w:val="nil"/>
              <w:right w:val="nil"/>
            </w:tcBorders>
          </w:tcPr>
          <w:p w14:paraId="6178BD45" w14:textId="77777777" w:rsidR="00AF1038" w:rsidRPr="001E52FE" w:rsidRDefault="00AF1038" w:rsidP="00AF1038">
            <w:pPr>
              <w:rPr>
                <w:rFonts w:eastAsia="Times New Roman" w:cs="Times New Roman"/>
                <w:color w:val="000000"/>
                <w:sz w:val="22"/>
              </w:rPr>
            </w:pPr>
            <w:r w:rsidRPr="001E52FE">
              <w:rPr>
                <w:rFonts w:eastAsia="Times New Roman" w:cs="Times New Roman"/>
                <w:color w:val="000000"/>
                <w:sz w:val="22"/>
              </w:rPr>
              <w:t>Direct</w:t>
            </w:r>
          </w:p>
        </w:tc>
        <w:tc>
          <w:tcPr>
            <w:tcW w:w="860" w:type="dxa"/>
            <w:tcBorders>
              <w:top w:val="nil"/>
              <w:left w:val="nil"/>
              <w:bottom w:val="nil"/>
              <w:right w:val="nil"/>
            </w:tcBorders>
            <w:shd w:val="clear" w:color="auto" w:fill="auto"/>
            <w:noWrap/>
            <w:vAlign w:val="bottom"/>
            <w:hideMark/>
          </w:tcPr>
          <w:p w14:paraId="7001EA89" w14:textId="77777777" w:rsidR="00AF1038" w:rsidRPr="001E52FE" w:rsidRDefault="00AF1038" w:rsidP="00AF1038">
            <w:pPr>
              <w:jc w:val="right"/>
              <w:rPr>
                <w:rFonts w:eastAsia="Times New Roman" w:cs="Times New Roman"/>
                <w:color w:val="000000"/>
                <w:sz w:val="22"/>
              </w:rPr>
            </w:pPr>
            <w:r w:rsidRPr="001E52FE">
              <w:rPr>
                <w:rFonts w:eastAsia="Times New Roman" w:cs="Times New Roman"/>
                <w:color w:val="000000"/>
                <w:sz w:val="22"/>
              </w:rPr>
              <w:t>14.11</w:t>
            </w:r>
          </w:p>
        </w:tc>
        <w:tc>
          <w:tcPr>
            <w:tcW w:w="436" w:type="dxa"/>
            <w:tcBorders>
              <w:top w:val="nil"/>
              <w:left w:val="nil"/>
              <w:bottom w:val="nil"/>
              <w:right w:val="nil"/>
            </w:tcBorders>
            <w:shd w:val="clear" w:color="auto" w:fill="auto"/>
            <w:noWrap/>
            <w:vAlign w:val="bottom"/>
            <w:hideMark/>
          </w:tcPr>
          <w:p w14:paraId="148F8E3F" w14:textId="77777777" w:rsidR="00AF1038" w:rsidRPr="001E52FE" w:rsidRDefault="00AF1038" w:rsidP="00AF1038">
            <w:pPr>
              <w:jc w:val="right"/>
              <w:rPr>
                <w:rFonts w:eastAsia="Times New Roman" w:cs="Times New Roman"/>
                <w:color w:val="000000"/>
                <w:sz w:val="22"/>
              </w:rPr>
            </w:pPr>
            <w:r w:rsidRPr="001E52FE">
              <w:rPr>
                <w:rFonts w:eastAsia="Times New Roman" w:cs="Times New Roman"/>
                <w:color w:val="000000"/>
                <w:sz w:val="22"/>
              </w:rPr>
              <w:t>12</w:t>
            </w:r>
          </w:p>
        </w:tc>
        <w:tc>
          <w:tcPr>
            <w:tcW w:w="900" w:type="dxa"/>
            <w:tcBorders>
              <w:top w:val="nil"/>
              <w:left w:val="nil"/>
              <w:bottom w:val="nil"/>
              <w:right w:val="nil"/>
            </w:tcBorders>
            <w:shd w:val="clear" w:color="auto" w:fill="auto"/>
            <w:noWrap/>
            <w:vAlign w:val="bottom"/>
            <w:hideMark/>
          </w:tcPr>
          <w:p w14:paraId="6250BFC1" w14:textId="77777777" w:rsidR="00AF1038" w:rsidRPr="001E52FE" w:rsidRDefault="00AF1038" w:rsidP="00AF1038">
            <w:pPr>
              <w:jc w:val="right"/>
              <w:rPr>
                <w:rFonts w:eastAsia="Times New Roman" w:cs="Times New Roman"/>
                <w:color w:val="000000"/>
                <w:sz w:val="22"/>
              </w:rPr>
            </w:pPr>
            <w:r w:rsidRPr="001E52FE">
              <w:rPr>
                <w:rFonts w:eastAsia="Times New Roman" w:cs="Times New Roman"/>
                <w:color w:val="000000"/>
                <w:sz w:val="22"/>
              </w:rPr>
              <w:t>.29</w:t>
            </w:r>
          </w:p>
        </w:tc>
        <w:tc>
          <w:tcPr>
            <w:tcW w:w="974" w:type="dxa"/>
            <w:tcBorders>
              <w:top w:val="nil"/>
              <w:left w:val="nil"/>
              <w:bottom w:val="nil"/>
              <w:right w:val="nil"/>
            </w:tcBorders>
            <w:shd w:val="clear" w:color="auto" w:fill="auto"/>
            <w:noWrap/>
            <w:vAlign w:val="bottom"/>
            <w:hideMark/>
          </w:tcPr>
          <w:p w14:paraId="4ED94A25" w14:textId="77777777" w:rsidR="00AF1038" w:rsidRPr="001E52FE" w:rsidRDefault="00AF1038" w:rsidP="00AF1038">
            <w:pPr>
              <w:jc w:val="right"/>
              <w:rPr>
                <w:rFonts w:eastAsia="Times New Roman" w:cs="Times New Roman"/>
                <w:color w:val="000000"/>
                <w:sz w:val="22"/>
              </w:rPr>
            </w:pPr>
            <w:r w:rsidRPr="001E52FE">
              <w:rPr>
                <w:rFonts w:eastAsia="Times New Roman" w:cs="Times New Roman"/>
                <w:color w:val="000000"/>
                <w:sz w:val="22"/>
              </w:rPr>
              <w:t>.034</w:t>
            </w:r>
          </w:p>
        </w:tc>
        <w:tc>
          <w:tcPr>
            <w:tcW w:w="1380" w:type="dxa"/>
            <w:tcBorders>
              <w:top w:val="nil"/>
              <w:left w:val="nil"/>
              <w:bottom w:val="nil"/>
              <w:right w:val="nil"/>
            </w:tcBorders>
            <w:shd w:val="clear" w:color="auto" w:fill="auto"/>
            <w:noWrap/>
            <w:vAlign w:val="bottom"/>
            <w:hideMark/>
          </w:tcPr>
          <w:p w14:paraId="00FE5106" w14:textId="77777777" w:rsidR="00AF1038" w:rsidRPr="001E52FE" w:rsidRDefault="00AF1038" w:rsidP="0075478A">
            <w:pPr>
              <w:jc w:val="center"/>
              <w:rPr>
                <w:rFonts w:eastAsia="Times New Roman" w:cs="Times New Roman"/>
                <w:color w:val="000000"/>
                <w:sz w:val="22"/>
              </w:rPr>
            </w:pPr>
            <w:r w:rsidRPr="001E52FE">
              <w:rPr>
                <w:rFonts w:eastAsia="Times New Roman" w:cs="Times New Roman"/>
                <w:color w:val="000000"/>
                <w:sz w:val="22"/>
              </w:rPr>
              <w:t>.000, .094</w:t>
            </w:r>
          </w:p>
        </w:tc>
        <w:tc>
          <w:tcPr>
            <w:tcW w:w="711" w:type="dxa"/>
            <w:tcBorders>
              <w:top w:val="nil"/>
              <w:left w:val="nil"/>
              <w:bottom w:val="nil"/>
              <w:right w:val="nil"/>
            </w:tcBorders>
            <w:shd w:val="clear" w:color="auto" w:fill="auto"/>
            <w:noWrap/>
            <w:vAlign w:val="bottom"/>
            <w:hideMark/>
          </w:tcPr>
          <w:p w14:paraId="37771604" w14:textId="77777777" w:rsidR="00AF1038" w:rsidRPr="001E52FE" w:rsidRDefault="00AF1038" w:rsidP="00AF1038">
            <w:pPr>
              <w:jc w:val="right"/>
              <w:rPr>
                <w:rFonts w:eastAsia="Times New Roman" w:cs="Times New Roman"/>
                <w:color w:val="000000"/>
                <w:sz w:val="22"/>
              </w:rPr>
            </w:pPr>
            <w:r w:rsidRPr="001E52FE">
              <w:rPr>
                <w:rFonts w:eastAsia="Times New Roman" w:cs="Times New Roman"/>
                <w:color w:val="000000"/>
                <w:sz w:val="22"/>
              </w:rPr>
              <w:t>.98</w:t>
            </w:r>
          </w:p>
        </w:tc>
        <w:tc>
          <w:tcPr>
            <w:tcW w:w="711" w:type="dxa"/>
            <w:tcBorders>
              <w:top w:val="nil"/>
              <w:left w:val="nil"/>
              <w:bottom w:val="nil"/>
              <w:right w:val="nil"/>
            </w:tcBorders>
            <w:shd w:val="clear" w:color="auto" w:fill="auto"/>
            <w:noWrap/>
            <w:vAlign w:val="bottom"/>
            <w:hideMark/>
          </w:tcPr>
          <w:p w14:paraId="6E947231" w14:textId="77777777" w:rsidR="00AF1038" w:rsidRPr="001E52FE" w:rsidRDefault="00AF1038" w:rsidP="00AF1038">
            <w:pPr>
              <w:jc w:val="right"/>
              <w:rPr>
                <w:rFonts w:eastAsia="Times New Roman" w:cs="Times New Roman"/>
                <w:color w:val="000000"/>
                <w:sz w:val="22"/>
              </w:rPr>
            </w:pPr>
            <w:r w:rsidRPr="001E52FE">
              <w:rPr>
                <w:rFonts w:eastAsia="Times New Roman" w:cs="Times New Roman"/>
                <w:color w:val="000000"/>
                <w:sz w:val="22"/>
              </w:rPr>
              <w:t>.93</w:t>
            </w:r>
          </w:p>
        </w:tc>
      </w:tr>
      <w:tr w:rsidR="00AF1038" w:rsidRPr="001E52FE" w14:paraId="5D8BFC90" w14:textId="77777777" w:rsidTr="00357562">
        <w:trPr>
          <w:trHeight w:val="290"/>
        </w:trPr>
        <w:tc>
          <w:tcPr>
            <w:tcW w:w="2790" w:type="dxa"/>
            <w:tcBorders>
              <w:top w:val="nil"/>
              <w:left w:val="nil"/>
              <w:bottom w:val="nil"/>
              <w:right w:val="nil"/>
            </w:tcBorders>
            <w:shd w:val="clear" w:color="auto" w:fill="auto"/>
            <w:noWrap/>
            <w:vAlign w:val="bottom"/>
            <w:hideMark/>
          </w:tcPr>
          <w:p w14:paraId="6AFFA2BC" w14:textId="77777777" w:rsidR="00AF1038" w:rsidRPr="001E52FE" w:rsidRDefault="00AF1038" w:rsidP="00AF1038">
            <w:pPr>
              <w:rPr>
                <w:rFonts w:eastAsia="Times New Roman" w:cs="Times New Roman"/>
                <w:color w:val="000000"/>
                <w:sz w:val="22"/>
              </w:rPr>
            </w:pPr>
          </w:p>
        </w:tc>
        <w:tc>
          <w:tcPr>
            <w:tcW w:w="1080" w:type="dxa"/>
            <w:tcBorders>
              <w:top w:val="nil"/>
              <w:left w:val="nil"/>
              <w:bottom w:val="nil"/>
              <w:right w:val="nil"/>
            </w:tcBorders>
          </w:tcPr>
          <w:p w14:paraId="6C12F5A3" w14:textId="77777777" w:rsidR="00AF1038" w:rsidRPr="001E52FE" w:rsidRDefault="00AF1038" w:rsidP="00AF1038">
            <w:pPr>
              <w:rPr>
                <w:rFonts w:eastAsia="Times New Roman" w:cs="Times New Roman"/>
                <w:color w:val="000000"/>
                <w:sz w:val="22"/>
              </w:rPr>
            </w:pPr>
            <w:r w:rsidRPr="001E52FE">
              <w:rPr>
                <w:rFonts w:eastAsia="Times New Roman" w:cs="Times New Roman"/>
                <w:color w:val="000000"/>
                <w:sz w:val="22"/>
              </w:rPr>
              <w:t>No direct</w:t>
            </w:r>
          </w:p>
        </w:tc>
        <w:tc>
          <w:tcPr>
            <w:tcW w:w="860" w:type="dxa"/>
            <w:tcBorders>
              <w:top w:val="nil"/>
              <w:left w:val="nil"/>
              <w:bottom w:val="nil"/>
              <w:right w:val="nil"/>
            </w:tcBorders>
            <w:shd w:val="clear" w:color="auto" w:fill="auto"/>
            <w:noWrap/>
            <w:vAlign w:val="bottom"/>
            <w:hideMark/>
          </w:tcPr>
          <w:p w14:paraId="2E666B6C" w14:textId="77777777" w:rsidR="00AF1038" w:rsidRPr="001E52FE" w:rsidRDefault="00AF1038" w:rsidP="00AF1038">
            <w:pPr>
              <w:jc w:val="right"/>
              <w:rPr>
                <w:rFonts w:eastAsia="Times New Roman" w:cs="Times New Roman"/>
                <w:color w:val="000000"/>
                <w:sz w:val="22"/>
              </w:rPr>
            </w:pPr>
            <w:r w:rsidRPr="001E52FE">
              <w:rPr>
                <w:rFonts w:eastAsia="Times New Roman" w:cs="Times New Roman"/>
                <w:color w:val="000000"/>
                <w:sz w:val="22"/>
              </w:rPr>
              <w:t>30.81</w:t>
            </w:r>
          </w:p>
        </w:tc>
        <w:tc>
          <w:tcPr>
            <w:tcW w:w="436" w:type="dxa"/>
            <w:tcBorders>
              <w:top w:val="nil"/>
              <w:left w:val="nil"/>
              <w:bottom w:val="nil"/>
              <w:right w:val="nil"/>
            </w:tcBorders>
            <w:shd w:val="clear" w:color="auto" w:fill="auto"/>
            <w:noWrap/>
            <w:vAlign w:val="bottom"/>
            <w:hideMark/>
          </w:tcPr>
          <w:p w14:paraId="2A33D5CB" w14:textId="77777777" w:rsidR="00AF1038" w:rsidRPr="001E52FE" w:rsidRDefault="00AF1038" w:rsidP="00AF1038">
            <w:pPr>
              <w:jc w:val="right"/>
              <w:rPr>
                <w:rFonts w:eastAsia="Times New Roman" w:cs="Times New Roman"/>
                <w:color w:val="000000"/>
                <w:sz w:val="22"/>
              </w:rPr>
            </w:pPr>
            <w:r w:rsidRPr="001E52FE">
              <w:rPr>
                <w:rFonts w:eastAsia="Times New Roman" w:cs="Times New Roman"/>
                <w:color w:val="000000"/>
                <w:sz w:val="22"/>
              </w:rPr>
              <w:t>18</w:t>
            </w:r>
          </w:p>
        </w:tc>
        <w:tc>
          <w:tcPr>
            <w:tcW w:w="900" w:type="dxa"/>
            <w:tcBorders>
              <w:top w:val="nil"/>
              <w:left w:val="nil"/>
              <w:bottom w:val="nil"/>
              <w:right w:val="nil"/>
            </w:tcBorders>
            <w:shd w:val="clear" w:color="auto" w:fill="auto"/>
            <w:noWrap/>
            <w:vAlign w:val="bottom"/>
            <w:hideMark/>
          </w:tcPr>
          <w:p w14:paraId="219D9222" w14:textId="77777777" w:rsidR="00AF1038" w:rsidRPr="001E52FE" w:rsidRDefault="00AF1038" w:rsidP="00AF1038">
            <w:pPr>
              <w:jc w:val="right"/>
              <w:rPr>
                <w:rFonts w:eastAsia="Times New Roman" w:cs="Times New Roman"/>
                <w:color w:val="000000"/>
                <w:sz w:val="22"/>
              </w:rPr>
            </w:pPr>
            <w:r w:rsidRPr="001E52FE">
              <w:rPr>
                <w:rFonts w:eastAsia="Times New Roman" w:cs="Times New Roman"/>
                <w:color w:val="000000"/>
                <w:sz w:val="22"/>
              </w:rPr>
              <w:t>.03</w:t>
            </w:r>
          </w:p>
        </w:tc>
        <w:tc>
          <w:tcPr>
            <w:tcW w:w="974" w:type="dxa"/>
            <w:tcBorders>
              <w:top w:val="nil"/>
              <w:left w:val="nil"/>
              <w:bottom w:val="nil"/>
              <w:right w:val="nil"/>
            </w:tcBorders>
            <w:shd w:val="clear" w:color="auto" w:fill="auto"/>
            <w:noWrap/>
            <w:vAlign w:val="bottom"/>
            <w:hideMark/>
          </w:tcPr>
          <w:p w14:paraId="34FBDD79" w14:textId="77777777" w:rsidR="00AF1038" w:rsidRPr="001E52FE" w:rsidRDefault="00AF1038" w:rsidP="00AF1038">
            <w:pPr>
              <w:jc w:val="right"/>
              <w:rPr>
                <w:rFonts w:eastAsia="Times New Roman" w:cs="Times New Roman"/>
                <w:color w:val="000000"/>
                <w:sz w:val="22"/>
              </w:rPr>
            </w:pPr>
            <w:r w:rsidRPr="001E52FE">
              <w:rPr>
                <w:rFonts w:eastAsia="Times New Roman" w:cs="Times New Roman"/>
                <w:color w:val="000000"/>
                <w:sz w:val="22"/>
              </w:rPr>
              <w:t>.069</w:t>
            </w:r>
          </w:p>
        </w:tc>
        <w:tc>
          <w:tcPr>
            <w:tcW w:w="1380" w:type="dxa"/>
            <w:tcBorders>
              <w:top w:val="nil"/>
              <w:left w:val="nil"/>
              <w:bottom w:val="nil"/>
              <w:right w:val="nil"/>
            </w:tcBorders>
            <w:shd w:val="clear" w:color="auto" w:fill="auto"/>
            <w:noWrap/>
            <w:vAlign w:val="bottom"/>
            <w:hideMark/>
          </w:tcPr>
          <w:p w14:paraId="3D6C2A7F" w14:textId="77777777" w:rsidR="00AF1038" w:rsidRPr="001E52FE" w:rsidRDefault="00AF1038" w:rsidP="0075478A">
            <w:pPr>
              <w:jc w:val="center"/>
              <w:rPr>
                <w:rFonts w:eastAsia="Times New Roman" w:cs="Times New Roman"/>
                <w:color w:val="000000"/>
                <w:sz w:val="22"/>
              </w:rPr>
            </w:pPr>
            <w:r w:rsidRPr="001E52FE">
              <w:rPr>
                <w:rFonts w:eastAsia="Times New Roman" w:cs="Times New Roman"/>
                <w:color w:val="000000"/>
                <w:sz w:val="22"/>
              </w:rPr>
              <w:t>.021, .110</w:t>
            </w:r>
          </w:p>
        </w:tc>
        <w:tc>
          <w:tcPr>
            <w:tcW w:w="711" w:type="dxa"/>
            <w:tcBorders>
              <w:top w:val="nil"/>
              <w:left w:val="nil"/>
              <w:bottom w:val="nil"/>
              <w:right w:val="nil"/>
            </w:tcBorders>
            <w:shd w:val="clear" w:color="auto" w:fill="auto"/>
            <w:noWrap/>
            <w:vAlign w:val="bottom"/>
            <w:hideMark/>
          </w:tcPr>
          <w:p w14:paraId="79A7252C" w14:textId="77777777" w:rsidR="00AF1038" w:rsidRPr="001E52FE" w:rsidRDefault="00AF1038" w:rsidP="00AF1038">
            <w:pPr>
              <w:jc w:val="right"/>
              <w:rPr>
                <w:rFonts w:eastAsia="Times New Roman" w:cs="Times New Roman"/>
                <w:color w:val="000000"/>
                <w:sz w:val="22"/>
              </w:rPr>
            </w:pPr>
            <w:r w:rsidRPr="001E52FE">
              <w:rPr>
                <w:rFonts w:eastAsia="Times New Roman" w:cs="Times New Roman"/>
                <w:color w:val="000000"/>
                <w:sz w:val="22"/>
              </w:rPr>
              <w:t>.90</w:t>
            </w:r>
          </w:p>
        </w:tc>
        <w:tc>
          <w:tcPr>
            <w:tcW w:w="711" w:type="dxa"/>
            <w:tcBorders>
              <w:top w:val="nil"/>
              <w:left w:val="nil"/>
              <w:bottom w:val="nil"/>
              <w:right w:val="nil"/>
            </w:tcBorders>
            <w:shd w:val="clear" w:color="auto" w:fill="auto"/>
            <w:noWrap/>
            <w:vAlign w:val="bottom"/>
            <w:hideMark/>
          </w:tcPr>
          <w:p w14:paraId="1C49FD6D" w14:textId="77777777" w:rsidR="00AF1038" w:rsidRPr="001E52FE" w:rsidRDefault="00AF1038" w:rsidP="00AF1038">
            <w:pPr>
              <w:jc w:val="right"/>
              <w:rPr>
                <w:rFonts w:eastAsia="Times New Roman" w:cs="Times New Roman"/>
                <w:color w:val="000000"/>
                <w:sz w:val="22"/>
              </w:rPr>
            </w:pPr>
            <w:r w:rsidRPr="001E52FE">
              <w:rPr>
                <w:rFonts w:eastAsia="Times New Roman" w:cs="Times New Roman"/>
                <w:color w:val="000000"/>
                <w:sz w:val="22"/>
              </w:rPr>
              <w:t>.70</w:t>
            </w:r>
          </w:p>
        </w:tc>
      </w:tr>
      <w:tr w:rsidR="002A39D6" w:rsidRPr="001E52FE" w14:paraId="7DE49EF1" w14:textId="77777777" w:rsidTr="00F778AF">
        <w:trPr>
          <w:trHeight w:val="290"/>
        </w:trPr>
        <w:tc>
          <w:tcPr>
            <w:tcW w:w="3870" w:type="dxa"/>
            <w:gridSpan w:val="2"/>
            <w:tcBorders>
              <w:top w:val="nil"/>
              <w:left w:val="nil"/>
              <w:bottom w:val="nil"/>
              <w:right w:val="nil"/>
            </w:tcBorders>
            <w:shd w:val="clear" w:color="auto" w:fill="auto"/>
            <w:noWrap/>
            <w:vAlign w:val="bottom"/>
            <w:hideMark/>
          </w:tcPr>
          <w:p w14:paraId="5E650278" w14:textId="77777777" w:rsidR="002A39D6" w:rsidRPr="001E52FE" w:rsidRDefault="002A39D6" w:rsidP="00D00F29">
            <w:pPr>
              <w:jc w:val="right"/>
              <w:rPr>
                <w:rFonts w:eastAsia="Times New Roman" w:cs="Times New Roman"/>
                <w:iCs/>
                <w:color w:val="000000"/>
                <w:sz w:val="22"/>
              </w:rPr>
            </w:pPr>
            <w:r w:rsidRPr="001E52FE">
              <w:rPr>
                <w:rFonts w:eastAsia="Times New Roman" w:cs="Times New Roman"/>
                <w:iCs/>
                <w:color w:val="000000"/>
                <w:sz w:val="22"/>
              </w:rPr>
              <w:t>Direct, AQ and CS switched</w:t>
            </w:r>
          </w:p>
        </w:tc>
        <w:tc>
          <w:tcPr>
            <w:tcW w:w="860" w:type="dxa"/>
            <w:tcBorders>
              <w:top w:val="nil"/>
              <w:left w:val="nil"/>
              <w:bottom w:val="nil"/>
              <w:right w:val="nil"/>
            </w:tcBorders>
            <w:shd w:val="clear" w:color="auto" w:fill="auto"/>
            <w:noWrap/>
            <w:vAlign w:val="bottom"/>
            <w:hideMark/>
          </w:tcPr>
          <w:p w14:paraId="641C8D7C" w14:textId="77777777" w:rsidR="002A39D6" w:rsidRPr="001E52FE" w:rsidRDefault="002A39D6" w:rsidP="00D00F29">
            <w:pPr>
              <w:jc w:val="right"/>
              <w:rPr>
                <w:rFonts w:eastAsia="Times New Roman" w:cs="Times New Roman"/>
                <w:iCs/>
                <w:color w:val="000000"/>
                <w:sz w:val="22"/>
              </w:rPr>
            </w:pPr>
            <w:r w:rsidRPr="001E52FE">
              <w:rPr>
                <w:rFonts w:eastAsia="Times New Roman" w:cs="Times New Roman"/>
                <w:iCs/>
                <w:color w:val="000000"/>
                <w:sz w:val="22"/>
              </w:rPr>
              <w:t>32.12</w:t>
            </w:r>
          </w:p>
        </w:tc>
        <w:tc>
          <w:tcPr>
            <w:tcW w:w="436" w:type="dxa"/>
            <w:tcBorders>
              <w:top w:val="nil"/>
              <w:left w:val="nil"/>
              <w:bottom w:val="nil"/>
              <w:right w:val="nil"/>
            </w:tcBorders>
            <w:shd w:val="clear" w:color="auto" w:fill="auto"/>
            <w:noWrap/>
            <w:vAlign w:val="bottom"/>
            <w:hideMark/>
          </w:tcPr>
          <w:p w14:paraId="366CAA5C" w14:textId="77777777" w:rsidR="002A39D6" w:rsidRPr="001E52FE" w:rsidRDefault="002A39D6" w:rsidP="00D00F29">
            <w:pPr>
              <w:jc w:val="right"/>
              <w:rPr>
                <w:rFonts w:eastAsia="Times New Roman" w:cs="Times New Roman"/>
                <w:iCs/>
                <w:color w:val="000000"/>
                <w:sz w:val="22"/>
              </w:rPr>
            </w:pPr>
            <w:r w:rsidRPr="001E52FE">
              <w:rPr>
                <w:rFonts w:eastAsia="Times New Roman" w:cs="Times New Roman"/>
                <w:iCs/>
                <w:color w:val="000000"/>
                <w:sz w:val="22"/>
              </w:rPr>
              <w:t>12</w:t>
            </w:r>
          </w:p>
        </w:tc>
        <w:tc>
          <w:tcPr>
            <w:tcW w:w="900" w:type="dxa"/>
            <w:tcBorders>
              <w:top w:val="nil"/>
              <w:left w:val="nil"/>
              <w:bottom w:val="nil"/>
              <w:right w:val="nil"/>
            </w:tcBorders>
            <w:shd w:val="clear" w:color="auto" w:fill="auto"/>
            <w:noWrap/>
            <w:vAlign w:val="bottom"/>
            <w:hideMark/>
          </w:tcPr>
          <w:p w14:paraId="01D05CE0" w14:textId="77777777" w:rsidR="002A39D6" w:rsidRPr="001E52FE" w:rsidRDefault="002A39D6" w:rsidP="00D00F29">
            <w:pPr>
              <w:jc w:val="right"/>
              <w:rPr>
                <w:rFonts w:eastAsia="Times New Roman" w:cs="Times New Roman"/>
                <w:iCs/>
                <w:color w:val="000000"/>
                <w:sz w:val="22"/>
              </w:rPr>
            </w:pPr>
            <w:r w:rsidRPr="001E52FE">
              <w:rPr>
                <w:rFonts w:eastAsia="Times New Roman" w:cs="Times New Roman"/>
                <w:iCs/>
                <w:color w:val="000000"/>
                <w:sz w:val="22"/>
              </w:rPr>
              <w:t>.001</w:t>
            </w:r>
          </w:p>
        </w:tc>
        <w:tc>
          <w:tcPr>
            <w:tcW w:w="974" w:type="dxa"/>
            <w:tcBorders>
              <w:top w:val="nil"/>
              <w:left w:val="nil"/>
              <w:bottom w:val="nil"/>
              <w:right w:val="nil"/>
            </w:tcBorders>
            <w:shd w:val="clear" w:color="auto" w:fill="auto"/>
            <w:noWrap/>
            <w:vAlign w:val="bottom"/>
            <w:hideMark/>
          </w:tcPr>
          <w:p w14:paraId="31879B7F" w14:textId="77777777" w:rsidR="002A39D6" w:rsidRPr="001E52FE" w:rsidRDefault="002A39D6" w:rsidP="00D00F29">
            <w:pPr>
              <w:jc w:val="right"/>
              <w:rPr>
                <w:rFonts w:eastAsia="Times New Roman" w:cs="Times New Roman"/>
                <w:iCs/>
                <w:color w:val="000000"/>
                <w:sz w:val="22"/>
              </w:rPr>
            </w:pPr>
            <w:r w:rsidRPr="001E52FE">
              <w:rPr>
                <w:rFonts w:eastAsia="Times New Roman" w:cs="Times New Roman"/>
                <w:iCs/>
                <w:color w:val="000000"/>
                <w:sz w:val="22"/>
              </w:rPr>
              <w:t>.106</w:t>
            </w:r>
          </w:p>
        </w:tc>
        <w:tc>
          <w:tcPr>
            <w:tcW w:w="1380" w:type="dxa"/>
            <w:tcBorders>
              <w:top w:val="nil"/>
              <w:left w:val="nil"/>
              <w:bottom w:val="nil"/>
              <w:right w:val="nil"/>
            </w:tcBorders>
            <w:shd w:val="clear" w:color="auto" w:fill="auto"/>
            <w:noWrap/>
            <w:vAlign w:val="bottom"/>
            <w:hideMark/>
          </w:tcPr>
          <w:p w14:paraId="3A6531BA" w14:textId="77777777" w:rsidR="002A39D6" w:rsidRPr="001E52FE" w:rsidRDefault="002A39D6" w:rsidP="0075478A">
            <w:pPr>
              <w:jc w:val="center"/>
              <w:rPr>
                <w:rFonts w:eastAsia="Times New Roman" w:cs="Times New Roman"/>
                <w:iCs/>
                <w:color w:val="000000"/>
                <w:sz w:val="22"/>
              </w:rPr>
            </w:pPr>
            <w:r w:rsidRPr="001E52FE">
              <w:rPr>
                <w:rFonts w:eastAsia="Times New Roman" w:cs="Times New Roman"/>
                <w:iCs/>
                <w:color w:val="000000"/>
                <w:sz w:val="22"/>
              </w:rPr>
              <w:t>.063, .151</w:t>
            </w:r>
          </w:p>
        </w:tc>
        <w:tc>
          <w:tcPr>
            <w:tcW w:w="711" w:type="dxa"/>
            <w:tcBorders>
              <w:top w:val="nil"/>
              <w:left w:val="nil"/>
              <w:bottom w:val="nil"/>
              <w:right w:val="nil"/>
            </w:tcBorders>
            <w:shd w:val="clear" w:color="auto" w:fill="auto"/>
            <w:noWrap/>
            <w:vAlign w:val="bottom"/>
            <w:hideMark/>
          </w:tcPr>
          <w:p w14:paraId="57318E33" w14:textId="77777777" w:rsidR="002A39D6" w:rsidRPr="001E52FE" w:rsidRDefault="002A39D6" w:rsidP="00D00F29">
            <w:pPr>
              <w:jc w:val="right"/>
              <w:rPr>
                <w:rFonts w:eastAsia="Times New Roman" w:cs="Times New Roman"/>
                <w:iCs/>
                <w:color w:val="000000"/>
                <w:sz w:val="22"/>
              </w:rPr>
            </w:pPr>
            <w:r w:rsidRPr="001E52FE">
              <w:rPr>
                <w:rFonts w:eastAsia="Times New Roman" w:cs="Times New Roman"/>
                <w:iCs/>
                <w:color w:val="000000"/>
                <w:sz w:val="22"/>
              </w:rPr>
              <w:t>.84</w:t>
            </w:r>
          </w:p>
        </w:tc>
        <w:tc>
          <w:tcPr>
            <w:tcW w:w="711" w:type="dxa"/>
            <w:tcBorders>
              <w:top w:val="nil"/>
              <w:left w:val="nil"/>
              <w:bottom w:val="nil"/>
              <w:right w:val="nil"/>
            </w:tcBorders>
            <w:shd w:val="clear" w:color="auto" w:fill="auto"/>
            <w:noWrap/>
            <w:vAlign w:val="bottom"/>
            <w:hideMark/>
          </w:tcPr>
          <w:p w14:paraId="23292E5E" w14:textId="77777777" w:rsidR="002A39D6" w:rsidRPr="001E52FE" w:rsidRDefault="002A39D6" w:rsidP="00D00F29">
            <w:pPr>
              <w:jc w:val="right"/>
              <w:rPr>
                <w:rFonts w:eastAsia="Times New Roman" w:cs="Times New Roman"/>
                <w:iCs/>
                <w:color w:val="000000"/>
                <w:sz w:val="22"/>
              </w:rPr>
            </w:pPr>
            <w:r w:rsidRPr="001E52FE">
              <w:rPr>
                <w:rFonts w:eastAsia="Times New Roman" w:cs="Times New Roman"/>
                <w:iCs/>
                <w:color w:val="000000"/>
                <w:sz w:val="22"/>
              </w:rPr>
              <w:t>.29</w:t>
            </w:r>
          </w:p>
        </w:tc>
      </w:tr>
      <w:tr w:rsidR="005D1A58" w:rsidRPr="001E52FE" w14:paraId="0D57D808" w14:textId="77777777" w:rsidTr="00D648DF">
        <w:trPr>
          <w:trHeight w:val="290"/>
        </w:trPr>
        <w:tc>
          <w:tcPr>
            <w:tcW w:w="3870" w:type="dxa"/>
            <w:gridSpan w:val="2"/>
            <w:tcBorders>
              <w:top w:val="nil"/>
              <w:left w:val="nil"/>
              <w:bottom w:val="single" w:sz="4" w:space="0" w:color="auto"/>
              <w:right w:val="nil"/>
            </w:tcBorders>
            <w:shd w:val="clear" w:color="auto" w:fill="auto"/>
            <w:noWrap/>
            <w:vAlign w:val="bottom"/>
            <w:hideMark/>
          </w:tcPr>
          <w:p w14:paraId="47CEC7CC" w14:textId="7C6C8219" w:rsidR="005D1A58" w:rsidRPr="001E52FE" w:rsidRDefault="005D1A58" w:rsidP="00D00F29">
            <w:pPr>
              <w:jc w:val="right"/>
              <w:rPr>
                <w:rFonts w:eastAsia="Times New Roman" w:cs="Times New Roman"/>
                <w:b/>
                <w:color w:val="000000"/>
                <w:sz w:val="22"/>
              </w:rPr>
            </w:pPr>
            <w:r w:rsidRPr="001E52FE">
              <w:rPr>
                <w:rFonts w:eastAsia="Times New Roman" w:cs="Times New Roman"/>
                <w:b/>
                <w:color w:val="000000"/>
                <w:sz w:val="22"/>
              </w:rPr>
              <w:t>Constrained Final Model</w:t>
            </w:r>
          </w:p>
        </w:tc>
        <w:tc>
          <w:tcPr>
            <w:tcW w:w="860" w:type="dxa"/>
            <w:tcBorders>
              <w:top w:val="nil"/>
              <w:left w:val="nil"/>
              <w:bottom w:val="single" w:sz="4" w:space="0" w:color="auto"/>
              <w:right w:val="nil"/>
            </w:tcBorders>
            <w:shd w:val="clear" w:color="auto" w:fill="auto"/>
            <w:noWrap/>
            <w:vAlign w:val="center"/>
            <w:hideMark/>
          </w:tcPr>
          <w:p w14:paraId="62D3AE7B" w14:textId="77777777" w:rsidR="005D1A58" w:rsidRPr="001E52FE" w:rsidRDefault="005D1A58" w:rsidP="00D00F29">
            <w:pPr>
              <w:jc w:val="right"/>
              <w:rPr>
                <w:rFonts w:eastAsia="Times New Roman" w:cs="Times New Roman"/>
                <w:b/>
                <w:color w:val="000000"/>
                <w:sz w:val="22"/>
              </w:rPr>
            </w:pPr>
            <w:r w:rsidRPr="001E52FE">
              <w:rPr>
                <w:rFonts w:eastAsia="Times New Roman" w:cs="Times New Roman"/>
                <w:b/>
                <w:color w:val="000000"/>
                <w:sz w:val="22"/>
              </w:rPr>
              <w:t>22.38</w:t>
            </w:r>
          </w:p>
        </w:tc>
        <w:tc>
          <w:tcPr>
            <w:tcW w:w="436" w:type="dxa"/>
            <w:tcBorders>
              <w:top w:val="nil"/>
              <w:left w:val="nil"/>
              <w:bottom w:val="single" w:sz="4" w:space="0" w:color="auto"/>
              <w:right w:val="nil"/>
            </w:tcBorders>
            <w:shd w:val="clear" w:color="auto" w:fill="auto"/>
            <w:noWrap/>
            <w:vAlign w:val="center"/>
            <w:hideMark/>
          </w:tcPr>
          <w:p w14:paraId="6DD9888F" w14:textId="77777777" w:rsidR="005D1A58" w:rsidRPr="001E52FE" w:rsidRDefault="005D1A58" w:rsidP="00D00F29">
            <w:pPr>
              <w:jc w:val="right"/>
              <w:rPr>
                <w:rFonts w:eastAsia="Times New Roman" w:cs="Times New Roman"/>
                <w:b/>
                <w:color w:val="000000"/>
                <w:sz w:val="22"/>
              </w:rPr>
            </w:pPr>
            <w:r w:rsidRPr="001E52FE">
              <w:rPr>
                <w:rFonts w:eastAsia="Times New Roman" w:cs="Times New Roman"/>
                <w:b/>
                <w:color w:val="000000"/>
                <w:sz w:val="22"/>
              </w:rPr>
              <w:t>23</w:t>
            </w:r>
          </w:p>
        </w:tc>
        <w:tc>
          <w:tcPr>
            <w:tcW w:w="900" w:type="dxa"/>
            <w:tcBorders>
              <w:top w:val="nil"/>
              <w:left w:val="nil"/>
              <w:bottom w:val="single" w:sz="4" w:space="0" w:color="auto"/>
              <w:right w:val="nil"/>
            </w:tcBorders>
            <w:shd w:val="clear" w:color="auto" w:fill="auto"/>
            <w:noWrap/>
            <w:vAlign w:val="center"/>
            <w:hideMark/>
          </w:tcPr>
          <w:p w14:paraId="4D58DB05" w14:textId="77777777" w:rsidR="005D1A58" w:rsidRPr="001E52FE" w:rsidRDefault="005D1A58" w:rsidP="00D00F29">
            <w:pPr>
              <w:jc w:val="right"/>
              <w:rPr>
                <w:rFonts w:eastAsia="Times New Roman" w:cs="Times New Roman"/>
                <w:b/>
                <w:color w:val="000000"/>
                <w:sz w:val="22"/>
              </w:rPr>
            </w:pPr>
            <w:r w:rsidRPr="001E52FE">
              <w:rPr>
                <w:rFonts w:eastAsia="Times New Roman" w:cs="Times New Roman"/>
                <w:b/>
                <w:color w:val="000000"/>
                <w:sz w:val="22"/>
              </w:rPr>
              <w:t>.50</w:t>
            </w:r>
          </w:p>
        </w:tc>
        <w:tc>
          <w:tcPr>
            <w:tcW w:w="974" w:type="dxa"/>
            <w:tcBorders>
              <w:top w:val="nil"/>
              <w:left w:val="nil"/>
              <w:bottom w:val="single" w:sz="4" w:space="0" w:color="auto"/>
              <w:right w:val="nil"/>
            </w:tcBorders>
            <w:shd w:val="clear" w:color="auto" w:fill="auto"/>
            <w:noWrap/>
            <w:vAlign w:val="center"/>
            <w:hideMark/>
          </w:tcPr>
          <w:p w14:paraId="64D73F6F" w14:textId="77777777" w:rsidR="005D1A58" w:rsidRPr="001E52FE" w:rsidRDefault="005D1A58" w:rsidP="00D00F29">
            <w:pPr>
              <w:jc w:val="right"/>
              <w:rPr>
                <w:rFonts w:eastAsia="Times New Roman" w:cs="Times New Roman"/>
                <w:b/>
                <w:color w:val="000000"/>
                <w:sz w:val="22"/>
              </w:rPr>
            </w:pPr>
            <w:r w:rsidRPr="001E52FE">
              <w:rPr>
                <w:rFonts w:eastAsia="Times New Roman" w:cs="Times New Roman"/>
                <w:b/>
                <w:color w:val="000000"/>
                <w:sz w:val="22"/>
              </w:rPr>
              <w:t>.000</w:t>
            </w:r>
          </w:p>
        </w:tc>
        <w:tc>
          <w:tcPr>
            <w:tcW w:w="1380" w:type="dxa"/>
            <w:tcBorders>
              <w:top w:val="nil"/>
              <w:left w:val="nil"/>
              <w:bottom w:val="single" w:sz="4" w:space="0" w:color="auto"/>
              <w:right w:val="nil"/>
            </w:tcBorders>
            <w:shd w:val="clear" w:color="auto" w:fill="auto"/>
            <w:noWrap/>
            <w:vAlign w:val="center"/>
            <w:hideMark/>
          </w:tcPr>
          <w:p w14:paraId="30A95F64" w14:textId="77777777" w:rsidR="005D1A58" w:rsidRPr="001E52FE" w:rsidRDefault="005D1A58" w:rsidP="0075478A">
            <w:pPr>
              <w:jc w:val="center"/>
              <w:rPr>
                <w:rFonts w:eastAsia="Times New Roman" w:cs="Times New Roman"/>
                <w:b/>
                <w:color w:val="000000"/>
                <w:sz w:val="22"/>
              </w:rPr>
            </w:pPr>
            <w:r w:rsidRPr="001E52FE">
              <w:rPr>
                <w:rFonts w:eastAsia="Times New Roman" w:cs="Times New Roman"/>
                <w:b/>
                <w:color w:val="000000"/>
                <w:sz w:val="22"/>
              </w:rPr>
              <w:t>.000, .065</w:t>
            </w:r>
          </w:p>
        </w:tc>
        <w:tc>
          <w:tcPr>
            <w:tcW w:w="711" w:type="dxa"/>
            <w:tcBorders>
              <w:top w:val="nil"/>
              <w:left w:val="nil"/>
              <w:bottom w:val="single" w:sz="4" w:space="0" w:color="auto"/>
              <w:right w:val="nil"/>
            </w:tcBorders>
            <w:shd w:val="clear" w:color="auto" w:fill="auto"/>
            <w:noWrap/>
            <w:vAlign w:val="center"/>
            <w:hideMark/>
          </w:tcPr>
          <w:p w14:paraId="6CBD3F8A" w14:textId="77777777" w:rsidR="005D1A58" w:rsidRPr="001E52FE" w:rsidRDefault="005D1A58" w:rsidP="00D00F29">
            <w:pPr>
              <w:jc w:val="right"/>
              <w:rPr>
                <w:rFonts w:eastAsia="Times New Roman" w:cs="Times New Roman"/>
                <w:b/>
                <w:color w:val="000000"/>
                <w:sz w:val="22"/>
              </w:rPr>
            </w:pPr>
            <w:r w:rsidRPr="001E52FE">
              <w:rPr>
                <w:rFonts w:eastAsia="Times New Roman" w:cs="Times New Roman"/>
                <w:b/>
                <w:color w:val="000000"/>
                <w:sz w:val="22"/>
              </w:rPr>
              <w:t>1.00</w:t>
            </w:r>
          </w:p>
        </w:tc>
        <w:tc>
          <w:tcPr>
            <w:tcW w:w="711" w:type="dxa"/>
            <w:tcBorders>
              <w:top w:val="nil"/>
              <w:left w:val="nil"/>
              <w:bottom w:val="single" w:sz="4" w:space="0" w:color="auto"/>
              <w:right w:val="nil"/>
            </w:tcBorders>
            <w:shd w:val="clear" w:color="auto" w:fill="auto"/>
            <w:noWrap/>
            <w:vAlign w:val="center"/>
            <w:hideMark/>
          </w:tcPr>
          <w:p w14:paraId="333B8486" w14:textId="77777777" w:rsidR="005D1A58" w:rsidRPr="001E52FE" w:rsidRDefault="005D1A58" w:rsidP="00D00F29">
            <w:pPr>
              <w:jc w:val="right"/>
              <w:rPr>
                <w:rFonts w:eastAsia="Times New Roman" w:cs="Times New Roman"/>
                <w:b/>
                <w:color w:val="000000"/>
                <w:sz w:val="22"/>
              </w:rPr>
            </w:pPr>
            <w:r w:rsidRPr="001E52FE">
              <w:rPr>
                <w:rFonts w:eastAsia="Times New Roman" w:cs="Times New Roman"/>
                <w:b/>
                <w:color w:val="000000"/>
                <w:sz w:val="22"/>
              </w:rPr>
              <w:t>1.00</w:t>
            </w:r>
          </w:p>
        </w:tc>
      </w:tr>
    </w:tbl>
    <w:p w14:paraId="7E076C17" w14:textId="7BE6AA52" w:rsidR="00C522E7" w:rsidRPr="001E52FE" w:rsidRDefault="00C522E7" w:rsidP="00C522E7">
      <w:pPr>
        <w:spacing w:after="160" w:line="259" w:lineRule="auto"/>
        <w:rPr>
          <w:szCs w:val="24"/>
        </w:rPr>
      </w:pPr>
      <w:r w:rsidRPr="001E52FE">
        <w:rPr>
          <w:i/>
          <w:szCs w:val="24"/>
        </w:rPr>
        <w:t xml:space="preserve">Note. </w:t>
      </w:r>
      <w:r w:rsidR="00905C64" w:rsidRPr="001E52FE">
        <w:rPr>
          <w:szCs w:val="24"/>
        </w:rPr>
        <w:t xml:space="preserve">Each model was tested </w:t>
      </w:r>
      <w:r w:rsidR="00626C63" w:rsidRPr="001E52FE">
        <w:rPr>
          <w:szCs w:val="24"/>
        </w:rPr>
        <w:t>with</w:t>
      </w:r>
      <w:r w:rsidR="001565BB" w:rsidRPr="001E52FE">
        <w:rPr>
          <w:szCs w:val="24"/>
        </w:rPr>
        <w:t xml:space="preserve"> (i.e., Direct) and without (i.e., No direct)</w:t>
      </w:r>
      <w:r w:rsidR="00905C64" w:rsidRPr="001E52FE">
        <w:rPr>
          <w:szCs w:val="24"/>
        </w:rPr>
        <w:t xml:space="preserve"> </w:t>
      </w:r>
      <w:r w:rsidR="00844FB2" w:rsidRPr="001E52FE">
        <w:rPr>
          <w:szCs w:val="24"/>
        </w:rPr>
        <w:t xml:space="preserve">actor-effects </w:t>
      </w:r>
      <w:r w:rsidR="00905C64" w:rsidRPr="001E52FE">
        <w:rPr>
          <w:szCs w:val="24"/>
        </w:rPr>
        <w:t>between relational assessments and conversation satisfaction.</w:t>
      </w:r>
      <w:r w:rsidR="00835DC7" w:rsidRPr="001E52FE">
        <w:rPr>
          <w:szCs w:val="24"/>
        </w:rPr>
        <w:t xml:space="preserve"> The</w:t>
      </w:r>
      <w:r w:rsidRPr="001E52FE">
        <w:rPr>
          <w:szCs w:val="24"/>
        </w:rPr>
        <w:t xml:space="preserve"> direct </w:t>
      </w:r>
      <w:r w:rsidR="00506C7C" w:rsidRPr="001E52FE">
        <w:rPr>
          <w:szCs w:val="24"/>
        </w:rPr>
        <w:t xml:space="preserve">Mutual Influence model </w:t>
      </w:r>
      <w:r w:rsidRPr="001E52FE">
        <w:rPr>
          <w:szCs w:val="24"/>
        </w:rPr>
        <w:t xml:space="preserve">was selected as the best-fitting model. In this model, individual paths were tested for distinguishability between advisors and recipients, and constrained in the “Constrained Final Model” if indistinguishable. </w:t>
      </w:r>
      <w:r w:rsidRPr="001E52FE">
        <w:rPr>
          <w:szCs w:val="24"/>
        </w:rPr>
        <w:br w:type="page"/>
      </w:r>
    </w:p>
    <w:p w14:paraId="7DCAAF9A" w14:textId="77777777" w:rsidR="00C522E7" w:rsidRPr="001E52FE" w:rsidRDefault="00C522E7" w:rsidP="00C522E7">
      <w:pPr>
        <w:rPr>
          <w:szCs w:val="24"/>
        </w:rPr>
      </w:pPr>
      <w:r w:rsidRPr="001E52FE">
        <w:rPr>
          <w:szCs w:val="24"/>
        </w:rPr>
        <w:lastRenderedPageBreak/>
        <w:t>Table 2</w:t>
      </w:r>
    </w:p>
    <w:p w14:paraId="63BFB3E2" w14:textId="77777777" w:rsidR="00C522E7" w:rsidRPr="001E52FE" w:rsidRDefault="00C522E7" w:rsidP="00C522E7">
      <w:pPr>
        <w:rPr>
          <w:szCs w:val="24"/>
        </w:rPr>
      </w:pPr>
      <w:r w:rsidRPr="001E52FE">
        <w:rPr>
          <w:szCs w:val="24"/>
        </w:rPr>
        <w:t>Descriptive Statistics and Bivariate Correlations</w:t>
      </w:r>
    </w:p>
    <w:tbl>
      <w:tblPr>
        <w:tblW w:w="15390" w:type="dxa"/>
        <w:tblInd w:w="-1080" w:type="dxa"/>
        <w:tblLayout w:type="fixed"/>
        <w:tblLook w:val="04A0" w:firstRow="1" w:lastRow="0" w:firstColumn="1" w:lastColumn="0" w:noHBand="0" w:noVBand="1"/>
      </w:tblPr>
      <w:tblGrid>
        <w:gridCol w:w="1890"/>
        <w:gridCol w:w="1333"/>
        <w:gridCol w:w="827"/>
        <w:gridCol w:w="810"/>
        <w:gridCol w:w="810"/>
        <w:gridCol w:w="810"/>
        <w:gridCol w:w="810"/>
        <w:gridCol w:w="810"/>
        <w:gridCol w:w="810"/>
        <w:gridCol w:w="810"/>
        <w:gridCol w:w="810"/>
        <w:gridCol w:w="720"/>
        <w:gridCol w:w="900"/>
        <w:gridCol w:w="810"/>
        <w:gridCol w:w="810"/>
        <w:gridCol w:w="810"/>
        <w:gridCol w:w="810"/>
      </w:tblGrid>
      <w:tr w:rsidR="00C522E7" w:rsidRPr="001E52FE" w14:paraId="21550913" w14:textId="77777777" w:rsidTr="00D00F29">
        <w:trPr>
          <w:trHeight w:val="260"/>
        </w:trPr>
        <w:tc>
          <w:tcPr>
            <w:tcW w:w="1890" w:type="dxa"/>
            <w:tcBorders>
              <w:top w:val="single" w:sz="4" w:space="0" w:color="auto"/>
              <w:left w:val="nil"/>
              <w:bottom w:val="single" w:sz="4" w:space="0" w:color="auto"/>
              <w:right w:val="nil"/>
            </w:tcBorders>
            <w:shd w:val="clear" w:color="auto" w:fill="auto"/>
            <w:vAlign w:val="bottom"/>
            <w:hideMark/>
          </w:tcPr>
          <w:p w14:paraId="4C64D891" w14:textId="77777777" w:rsidR="00C522E7" w:rsidRPr="001E52FE" w:rsidRDefault="00C522E7" w:rsidP="00D00F29">
            <w:pPr>
              <w:jc w:val="center"/>
              <w:rPr>
                <w:rFonts w:eastAsia="Times New Roman" w:cs="Times New Roman"/>
                <w:sz w:val="20"/>
                <w:szCs w:val="24"/>
              </w:rPr>
            </w:pPr>
          </w:p>
        </w:tc>
        <w:tc>
          <w:tcPr>
            <w:tcW w:w="1333" w:type="dxa"/>
            <w:tcBorders>
              <w:top w:val="single" w:sz="4" w:space="0" w:color="auto"/>
              <w:left w:val="nil"/>
              <w:bottom w:val="single" w:sz="4" w:space="0" w:color="auto"/>
              <w:right w:val="nil"/>
            </w:tcBorders>
            <w:shd w:val="clear" w:color="auto" w:fill="auto"/>
            <w:hideMark/>
          </w:tcPr>
          <w:p w14:paraId="53D508FE"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M (SD)</w:t>
            </w:r>
          </w:p>
        </w:tc>
        <w:tc>
          <w:tcPr>
            <w:tcW w:w="827" w:type="dxa"/>
            <w:tcBorders>
              <w:top w:val="single" w:sz="4" w:space="0" w:color="auto"/>
              <w:left w:val="nil"/>
              <w:bottom w:val="single" w:sz="4" w:space="0" w:color="auto"/>
              <w:right w:val="nil"/>
            </w:tcBorders>
            <w:shd w:val="clear" w:color="auto" w:fill="auto"/>
            <w:hideMark/>
          </w:tcPr>
          <w:p w14:paraId="2EC6DBB4"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1</w:t>
            </w:r>
          </w:p>
        </w:tc>
        <w:tc>
          <w:tcPr>
            <w:tcW w:w="810" w:type="dxa"/>
            <w:tcBorders>
              <w:top w:val="single" w:sz="4" w:space="0" w:color="auto"/>
              <w:left w:val="nil"/>
              <w:bottom w:val="single" w:sz="4" w:space="0" w:color="auto"/>
              <w:right w:val="nil"/>
            </w:tcBorders>
            <w:shd w:val="clear" w:color="auto" w:fill="auto"/>
            <w:hideMark/>
          </w:tcPr>
          <w:p w14:paraId="1DE763A8"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2</w:t>
            </w:r>
          </w:p>
        </w:tc>
        <w:tc>
          <w:tcPr>
            <w:tcW w:w="810" w:type="dxa"/>
            <w:tcBorders>
              <w:top w:val="single" w:sz="4" w:space="0" w:color="auto"/>
              <w:left w:val="nil"/>
              <w:bottom w:val="single" w:sz="4" w:space="0" w:color="auto"/>
              <w:right w:val="nil"/>
            </w:tcBorders>
            <w:shd w:val="clear" w:color="auto" w:fill="auto"/>
            <w:hideMark/>
          </w:tcPr>
          <w:p w14:paraId="50E6E0A6"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3</w:t>
            </w:r>
          </w:p>
        </w:tc>
        <w:tc>
          <w:tcPr>
            <w:tcW w:w="810" w:type="dxa"/>
            <w:tcBorders>
              <w:top w:val="single" w:sz="4" w:space="0" w:color="auto"/>
              <w:left w:val="nil"/>
              <w:bottom w:val="single" w:sz="4" w:space="0" w:color="auto"/>
              <w:right w:val="nil"/>
            </w:tcBorders>
            <w:shd w:val="clear" w:color="auto" w:fill="auto"/>
            <w:hideMark/>
          </w:tcPr>
          <w:p w14:paraId="4445181F"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4</w:t>
            </w:r>
          </w:p>
        </w:tc>
        <w:tc>
          <w:tcPr>
            <w:tcW w:w="810" w:type="dxa"/>
            <w:tcBorders>
              <w:top w:val="single" w:sz="4" w:space="0" w:color="auto"/>
              <w:left w:val="nil"/>
              <w:bottom w:val="single" w:sz="4" w:space="0" w:color="auto"/>
              <w:right w:val="nil"/>
            </w:tcBorders>
            <w:shd w:val="clear" w:color="auto" w:fill="auto"/>
            <w:hideMark/>
          </w:tcPr>
          <w:p w14:paraId="29BB329B"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5</w:t>
            </w:r>
          </w:p>
        </w:tc>
        <w:tc>
          <w:tcPr>
            <w:tcW w:w="810" w:type="dxa"/>
            <w:tcBorders>
              <w:top w:val="single" w:sz="4" w:space="0" w:color="auto"/>
              <w:left w:val="nil"/>
              <w:bottom w:val="single" w:sz="4" w:space="0" w:color="auto"/>
              <w:right w:val="nil"/>
            </w:tcBorders>
            <w:shd w:val="clear" w:color="auto" w:fill="auto"/>
            <w:hideMark/>
          </w:tcPr>
          <w:p w14:paraId="0D9139E1"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6</w:t>
            </w:r>
          </w:p>
        </w:tc>
        <w:tc>
          <w:tcPr>
            <w:tcW w:w="810" w:type="dxa"/>
            <w:tcBorders>
              <w:top w:val="single" w:sz="4" w:space="0" w:color="auto"/>
              <w:left w:val="nil"/>
              <w:bottom w:val="single" w:sz="4" w:space="0" w:color="auto"/>
              <w:right w:val="nil"/>
            </w:tcBorders>
            <w:shd w:val="clear" w:color="auto" w:fill="auto"/>
            <w:hideMark/>
          </w:tcPr>
          <w:p w14:paraId="176630DA"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7</w:t>
            </w:r>
          </w:p>
        </w:tc>
        <w:tc>
          <w:tcPr>
            <w:tcW w:w="810" w:type="dxa"/>
            <w:tcBorders>
              <w:top w:val="single" w:sz="4" w:space="0" w:color="auto"/>
              <w:left w:val="nil"/>
              <w:bottom w:val="single" w:sz="4" w:space="0" w:color="auto"/>
              <w:right w:val="nil"/>
            </w:tcBorders>
            <w:shd w:val="clear" w:color="auto" w:fill="auto"/>
            <w:hideMark/>
          </w:tcPr>
          <w:p w14:paraId="466CD2F1"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8</w:t>
            </w:r>
          </w:p>
        </w:tc>
        <w:tc>
          <w:tcPr>
            <w:tcW w:w="810" w:type="dxa"/>
            <w:tcBorders>
              <w:top w:val="single" w:sz="4" w:space="0" w:color="auto"/>
              <w:left w:val="nil"/>
              <w:bottom w:val="single" w:sz="4" w:space="0" w:color="auto"/>
              <w:right w:val="nil"/>
            </w:tcBorders>
            <w:shd w:val="clear" w:color="auto" w:fill="auto"/>
            <w:hideMark/>
          </w:tcPr>
          <w:p w14:paraId="57E546C9"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9</w:t>
            </w:r>
          </w:p>
        </w:tc>
        <w:tc>
          <w:tcPr>
            <w:tcW w:w="720" w:type="dxa"/>
            <w:tcBorders>
              <w:top w:val="single" w:sz="4" w:space="0" w:color="auto"/>
              <w:left w:val="nil"/>
              <w:bottom w:val="single" w:sz="4" w:space="0" w:color="auto"/>
              <w:right w:val="nil"/>
            </w:tcBorders>
            <w:shd w:val="clear" w:color="auto" w:fill="auto"/>
            <w:hideMark/>
          </w:tcPr>
          <w:p w14:paraId="11D961B1"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10</w:t>
            </w:r>
          </w:p>
        </w:tc>
        <w:tc>
          <w:tcPr>
            <w:tcW w:w="900" w:type="dxa"/>
            <w:tcBorders>
              <w:top w:val="single" w:sz="4" w:space="0" w:color="auto"/>
              <w:left w:val="nil"/>
              <w:bottom w:val="single" w:sz="4" w:space="0" w:color="auto"/>
              <w:right w:val="nil"/>
            </w:tcBorders>
            <w:shd w:val="clear" w:color="auto" w:fill="auto"/>
            <w:hideMark/>
          </w:tcPr>
          <w:p w14:paraId="5B858084"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11</w:t>
            </w:r>
          </w:p>
        </w:tc>
        <w:tc>
          <w:tcPr>
            <w:tcW w:w="810" w:type="dxa"/>
            <w:tcBorders>
              <w:top w:val="single" w:sz="4" w:space="0" w:color="auto"/>
              <w:left w:val="nil"/>
              <w:bottom w:val="single" w:sz="4" w:space="0" w:color="auto"/>
              <w:right w:val="nil"/>
            </w:tcBorders>
            <w:shd w:val="clear" w:color="auto" w:fill="auto"/>
            <w:hideMark/>
          </w:tcPr>
          <w:p w14:paraId="2BA03127"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12</w:t>
            </w:r>
          </w:p>
        </w:tc>
        <w:tc>
          <w:tcPr>
            <w:tcW w:w="810" w:type="dxa"/>
            <w:tcBorders>
              <w:top w:val="single" w:sz="4" w:space="0" w:color="auto"/>
              <w:left w:val="nil"/>
              <w:bottom w:val="single" w:sz="4" w:space="0" w:color="auto"/>
              <w:right w:val="nil"/>
            </w:tcBorders>
            <w:shd w:val="clear" w:color="auto" w:fill="auto"/>
            <w:hideMark/>
          </w:tcPr>
          <w:p w14:paraId="3B8A7FE8"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13</w:t>
            </w:r>
          </w:p>
        </w:tc>
        <w:tc>
          <w:tcPr>
            <w:tcW w:w="810" w:type="dxa"/>
            <w:tcBorders>
              <w:top w:val="single" w:sz="4" w:space="0" w:color="auto"/>
              <w:left w:val="nil"/>
              <w:bottom w:val="single" w:sz="4" w:space="0" w:color="auto"/>
              <w:right w:val="nil"/>
            </w:tcBorders>
            <w:shd w:val="clear" w:color="auto" w:fill="auto"/>
            <w:hideMark/>
          </w:tcPr>
          <w:p w14:paraId="4B59BFD9"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14</w:t>
            </w:r>
          </w:p>
        </w:tc>
        <w:tc>
          <w:tcPr>
            <w:tcW w:w="810" w:type="dxa"/>
            <w:tcBorders>
              <w:top w:val="single" w:sz="4" w:space="0" w:color="auto"/>
              <w:left w:val="nil"/>
              <w:bottom w:val="single" w:sz="4" w:space="0" w:color="auto"/>
              <w:right w:val="nil"/>
            </w:tcBorders>
            <w:shd w:val="clear" w:color="auto" w:fill="auto"/>
            <w:hideMark/>
          </w:tcPr>
          <w:p w14:paraId="4D21B622"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15</w:t>
            </w:r>
          </w:p>
        </w:tc>
      </w:tr>
      <w:tr w:rsidR="00C522E7" w:rsidRPr="001E52FE" w14:paraId="052192CF" w14:textId="77777777" w:rsidTr="00D00F29">
        <w:trPr>
          <w:trHeight w:val="290"/>
        </w:trPr>
        <w:tc>
          <w:tcPr>
            <w:tcW w:w="1890" w:type="dxa"/>
            <w:tcBorders>
              <w:top w:val="single" w:sz="4" w:space="0" w:color="auto"/>
              <w:left w:val="nil"/>
              <w:bottom w:val="nil"/>
              <w:right w:val="nil"/>
            </w:tcBorders>
            <w:shd w:val="clear" w:color="auto" w:fill="auto"/>
          </w:tcPr>
          <w:p w14:paraId="5649E5C2" w14:textId="77777777" w:rsidR="00C522E7" w:rsidRPr="001E52FE" w:rsidRDefault="00C522E7" w:rsidP="00D00F29">
            <w:pPr>
              <w:rPr>
                <w:rFonts w:eastAsia="Times New Roman" w:cs="Times New Roman"/>
                <w:sz w:val="22"/>
              </w:rPr>
            </w:pPr>
            <w:r w:rsidRPr="001E52FE">
              <w:rPr>
                <w:rFonts w:eastAsia="Times New Roman" w:cs="Times New Roman"/>
                <w:sz w:val="22"/>
              </w:rPr>
              <w:t xml:space="preserve">1. </w:t>
            </w:r>
            <w:proofErr w:type="spellStart"/>
            <w:r w:rsidRPr="001E52FE">
              <w:rPr>
                <w:rFonts w:eastAsia="Times New Roman" w:cs="Times New Roman"/>
                <w:sz w:val="22"/>
              </w:rPr>
              <w:t>ASex</w:t>
            </w:r>
            <w:proofErr w:type="spellEnd"/>
          </w:p>
        </w:tc>
        <w:tc>
          <w:tcPr>
            <w:tcW w:w="1333" w:type="dxa"/>
            <w:tcBorders>
              <w:top w:val="single" w:sz="4" w:space="0" w:color="auto"/>
              <w:left w:val="nil"/>
              <w:bottom w:val="nil"/>
              <w:right w:val="nil"/>
            </w:tcBorders>
            <w:shd w:val="clear" w:color="auto" w:fill="auto"/>
            <w:noWrap/>
            <w:vAlign w:val="bottom"/>
          </w:tcPr>
          <w:p w14:paraId="6C0024BB" w14:textId="77777777" w:rsidR="00C522E7" w:rsidRPr="001E52FE" w:rsidRDefault="00FA6B13" w:rsidP="00D00F29">
            <w:pPr>
              <w:jc w:val="center"/>
              <w:rPr>
                <w:rFonts w:eastAsia="Times New Roman" w:cs="Times New Roman"/>
                <w:sz w:val="22"/>
              </w:rPr>
            </w:pPr>
            <w:r w:rsidRPr="001E52FE">
              <w:rPr>
                <w:rFonts w:eastAsia="Times New Roman" w:cs="Times New Roman"/>
                <w:sz w:val="22"/>
              </w:rPr>
              <w:t>----</w:t>
            </w:r>
          </w:p>
        </w:tc>
        <w:tc>
          <w:tcPr>
            <w:tcW w:w="827" w:type="dxa"/>
            <w:tcBorders>
              <w:top w:val="single" w:sz="4" w:space="0" w:color="auto"/>
              <w:left w:val="nil"/>
              <w:bottom w:val="nil"/>
              <w:right w:val="nil"/>
            </w:tcBorders>
            <w:shd w:val="clear" w:color="auto" w:fill="auto"/>
            <w:noWrap/>
          </w:tcPr>
          <w:p w14:paraId="5C8E114B" w14:textId="77777777" w:rsidR="00C522E7" w:rsidRPr="001E52FE" w:rsidRDefault="00C522E7" w:rsidP="00D00F29">
            <w:pPr>
              <w:jc w:val="right"/>
              <w:rPr>
                <w:rFonts w:eastAsia="Times New Roman" w:cs="Times New Roman"/>
                <w:sz w:val="22"/>
              </w:rPr>
            </w:pPr>
          </w:p>
        </w:tc>
        <w:tc>
          <w:tcPr>
            <w:tcW w:w="810" w:type="dxa"/>
            <w:tcBorders>
              <w:top w:val="single" w:sz="4" w:space="0" w:color="auto"/>
              <w:left w:val="nil"/>
              <w:bottom w:val="nil"/>
              <w:right w:val="nil"/>
            </w:tcBorders>
            <w:shd w:val="clear" w:color="auto" w:fill="auto"/>
            <w:noWrap/>
          </w:tcPr>
          <w:p w14:paraId="513A51B9" w14:textId="77777777" w:rsidR="00C522E7" w:rsidRPr="001E52FE" w:rsidRDefault="00C522E7" w:rsidP="00D00F29">
            <w:pPr>
              <w:jc w:val="right"/>
              <w:rPr>
                <w:rFonts w:eastAsia="Times New Roman" w:cs="Times New Roman"/>
                <w:sz w:val="22"/>
              </w:rPr>
            </w:pPr>
          </w:p>
        </w:tc>
        <w:tc>
          <w:tcPr>
            <w:tcW w:w="810" w:type="dxa"/>
            <w:tcBorders>
              <w:top w:val="single" w:sz="4" w:space="0" w:color="auto"/>
              <w:left w:val="nil"/>
              <w:bottom w:val="nil"/>
              <w:right w:val="nil"/>
            </w:tcBorders>
            <w:shd w:val="clear" w:color="auto" w:fill="auto"/>
            <w:noWrap/>
          </w:tcPr>
          <w:p w14:paraId="455DFA20" w14:textId="77777777" w:rsidR="00C522E7" w:rsidRPr="001E52FE" w:rsidRDefault="00C522E7" w:rsidP="00D00F29">
            <w:pPr>
              <w:jc w:val="right"/>
              <w:rPr>
                <w:rFonts w:eastAsia="Times New Roman" w:cs="Times New Roman"/>
                <w:sz w:val="20"/>
                <w:szCs w:val="20"/>
              </w:rPr>
            </w:pPr>
          </w:p>
        </w:tc>
        <w:tc>
          <w:tcPr>
            <w:tcW w:w="810" w:type="dxa"/>
            <w:tcBorders>
              <w:top w:val="single" w:sz="4" w:space="0" w:color="auto"/>
              <w:left w:val="nil"/>
              <w:bottom w:val="nil"/>
              <w:right w:val="nil"/>
            </w:tcBorders>
            <w:shd w:val="clear" w:color="auto" w:fill="auto"/>
            <w:noWrap/>
          </w:tcPr>
          <w:p w14:paraId="41518840" w14:textId="77777777" w:rsidR="00C522E7" w:rsidRPr="001E52FE" w:rsidRDefault="00C522E7" w:rsidP="00D00F29">
            <w:pPr>
              <w:jc w:val="right"/>
              <w:rPr>
                <w:rFonts w:eastAsia="Times New Roman" w:cs="Times New Roman"/>
                <w:sz w:val="20"/>
                <w:szCs w:val="20"/>
              </w:rPr>
            </w:pPr>
          </w:p>
        </w:tc>
        <w:tc>
          <w:tcPr>
            <w:tcW w:w="810" w:type="dxa"/>
            <w:tcBorders>
              <w:top w:val="single" w:sz="4" w:space="0" w:color="auto"/>
              <w:left w:val="nil"/>
              <w:bottom w:val="nil"/>
              <w:right w:val="nil"/>
            </w:tcBorders>
            <w:shd w:val="clear" w:color="auto" w:fill="auto"/>
            <w:noWrap/>
          </w:tcPr>
          <w:p w14:paraId="6FE4C4EE" w14:textId="77777777" w:rsidR="00C522E7" w:rsidRPr="001E52FE" w:rsidRDefault="00C522E7" w:rsidP="00D00F29">
            <w:pPr>
              <w:jc w:val="right"/>
              <w:rPr>
                <w:rFonts w:eastAsia="Times New Roman" w:cs="Times New Roman"/>
                <w:sz w:val="20"/>
                <w:szCs w:val="20"/>
              </w:rPr>
            </w:pPr>
          </w:p>
        </w:tc>
        <w:tc>
          <w:tcPr>
            <w:tcW w:w="810" w:type="dxa"/>
            <w:tcBorders>
              <w:top w:val="single" w:sz="4" w:space="0" w:color="auto"/>
              <w:left w:val="nil"/>
              <w:bottom w:val="nil"/>
              <w:right w:val="nil"/>
            </w:tcBorders>
            <w:shd w:val="clear" w:color="auto" w:fill="auto"/>
            <w:noWrap/>
          </w:tcPr>
          <w:p w14:paraId="3663DBD1" w14:textId="77777777" w:rsidR="00C522E7" w:rsidRPr="001E52FE" w:rsidRDefault="00C522E7" w:rsidP="00D00F29">
            <w:pPr>
              <w:jc w:val="right"/>
              <w:rPr>
                <w:rFonts w:eastAsia="Times New Roman" w:cs="Times New Roman"/>
                <w:sz w:val="20"/>
                <w:szCs w:val="20"/>
              </w:rPr>
            </w:pPr>
          </w:p>
        </w:tc>
        <w:tc>
          <w:tcPr>
            <w:tcW w:w="810" w:type="dxa"/>
            <w:tcBorders>
              <w:top w:val="single" w:sz="4" w:space="0" w:color="auto"/>
              <w:left w:val="nil"/>
              <w:bottom w:val="nil"/>
              <w:right w:val="nil"/>
            </w:tcBorders>
            <w:shd w:val="clear" w:color="auto" w:fill="auto"/>
            <w:noWrap/>
          </w:tcPr>
          <w:p w14:paraId="2FF4B66C" w14:textId="77777777" w:rsidR="00C522E7" w:rsidRPr="001E52FE" w:rsidRDefault="00C522E7" w:rsidP="00D00F29">
            <w:pPr>
              <w:jc w:val="right"/>
              <w:rPr>
                <w:rFonts w:eastAsia="Times New Roman" w:cs="Times New Roman"/>
                <w:sz w:val="20"/>
                <w:szCs w:val="20"/>
              </w:rPr>
            </w:pPr>
          </w:p>
        </w:tc>
        <w:tc>
          <w:tcPr>
            <w:tcW w:w="810" w:type="dxa"/>
            <w:tcBorders>
              <w:top w:val="single" w:sz="4" w:space="0" w:color="auto"/>
              <w:left w:val="nil"/>
              <w:bottom w:val="nil"/>
              <w:right w:val="nil"/>
            </w:tcBorders>
            <w:shd w:val="clear" w:color="auto" w:fill="auto"/>
            <w:noWrap/>
          </w:tcPr>
          <w:p w14:paraId="5A070A60" w14:textId="77777777" w:rsidR="00C522E7" w:rsidRPr="001E52FE" w:rsidRDefault="00C522E7" w:rsidP="00D00F29">
            <w:pPr>
              <w:jc w:val="right"/>
              <w:rPr>
                <w:rFonts w:eastAsia="Times New Roman" w:cs="Times New Roman"/>
                <w:sz w:val="20"/>
                <w:szCs w:val="20"/>
              </w:rPr>
            </w:pPr>
          </w:p>
        </w:tc>
        <w:tc>
          <w:tcPr>
            <w:tcW w:w="810" w:type="dxa"/>
            <w:tcBorders>
              <w:top w:val="single" w:sz="4" w:space="0" w:color="auto"/>
              <w:left w:val="nil"/>
              <w:bottom w:val="nil"/>
              <w:right w:val="nil"/>
            </w:tcBorders>
            <w:shd w:val="clear" w:color="auto" w:fill="auto"/>
            <w:noWrap/>
          </w:tcPr>
          <w:p w14:paraId="5B25E71B" w14:textId="77777777" w:rsidR="00C522E7" w:rsidRPr="001E52FE" w:rsidRDefault="00C522E7" w:rsidP="00D00F29">
            <w:pPr>
              <w:jc w:val="right"/>
              <w:rPr>
                <w:rFonts w:eastAsia="Times New Roman" w:cs="Times New Roman"/>
                <w:sz w:val="20"/>
                <w:szCs w:val="20"/>
              </w:rPr>
            </w:pPr>
          </w:p>
        </w:tc>
        <w:tc>
          <w:tcPr>
            <w:tcW w:w="720" w:type="dxa"/>
            <w:tcBorders>
              <w:top w:val="single" w:sz="4" w:space="0" w:color="auto"/>
              <w:left w:val="nil"/>
              <w:bottom w:val="nil"/>
              <w:right w:val="nil"/>
            </w:tcBorders>
            <w:shd w:val="clear" w:color="auto" w:fill="auto"/>
            <w:noWrap/>
          </w:tcPr>
          <w:p w14:paraId="581FD5AB" w14:textId="77777777" w:rsidR="00C522E7" w:rsidRPr="001E52FE" w:rsidRDefault="00C522E7" w:rsidP="00D00F29">
            <w:pPr>
              <w:jc w:val="right"/>
              <w:rPr>
                <w:rFonts w:eastAsia="Times New Roman" w:cs="Times New Roman"/>
                <w:sz w:val="20"/>
                <w:szCs w:val="20"/>
              </w:rPr>
            </w:pPr>
          </w:p>
        </w:tc>
        <w:tc>
          <w:tcPr>
            <w:tcW w:w="900" w:type="dxa"/>
            <w:tcBorders>
              <w:top w:val="single" w:sz="4" w:space="0" w:color="auto"/>
              <w:left w:val="nil"/>
              <w:bottom w:val="nil"/>
              <w:right w:val="nil"/>
            </w:tcBorders>
            <w:shd w:val="clear" w:color="auto" w:fill="auto"/>
            <w:noWrap/>
          </w:tcPr>
          <w:p w14:paraId="5854D94F" w14:textId="77777777" w:rsidR="00C522E7" w:rsidRPr="001E52FE" w:rsidRDefault="00C522E7" w:rsidP="00D00F29">
            <w:pPr>
              <w:jc w:val="right"/>
              <w:rPr>
                <w:rFonts w:eastAsia="Times New Roman" w:cs="Times New Roman"/>
                <w:sz w:val="20"/>
                <w:szCs w:val="20"/>
              </w:rPr>
            </w:pPr>
          </w:p>
        </w:tc>
        <w:tc>
          <w:tcPr>
            <w:tcW w:w="810" w:type="dxa"/>
            <w:tcBorders>
              <w:top w:val="single" w:sz="4" w:space="0" w:color="auto"/>
              <w:left w:val="nil"/>
              <w:bottom w:val="nil"/>
              <w:right w:val="nil"/>
            </w:tcBorders>
            <w:shd w:val="clear" w:color="auto" w:fill="auto"/>
            <w:noWrap/>
          </w:tcPr>
          <w:p w14:paraId="4A21A3E2" w14:textId="77777777" w:rsidR="00C522E7" w:rsidRPr="001E52FE" w:rsidRDefault="00C522E7" w:rsidP="00D00F29">
            <w:pPr>
              <w:jc w:val="right"/>
              <w:rPr>
                <w:rFonts w:eastAsia="Times New Roman" w:cs="Times New Roman"/>
                <w:sz w:val="20"/>
                <w:szCs w:val="20"/>
              </w:rPr>
            </w:pPr>
          </w:p>
        </w:tc>
        <w:tc>
          <w:tcPr>
            <w:tcW w:w="810" w:type="dxa"/>
            <w:tcBorders>
              <w:top w:val="single" w:sz="4" w:space="0" w:color="auto"/>
              <w:left w:val="nil"/>
              <w:bottom w:val="nil"/>
              <w:right w:val="nil"/>
            </w:tcBorders>
            <w:shd w:val="clear" w:color="auto" w:fill="auto"/>
            <w:noWrap/>
          </w:tcPr>
          <w:p w14:paraId="0798FC6E" w14:textId="77777777" w:rsidR="00C522E7" w:rsidRPr="001E52FE" w:rsidRDefault="00C522E7" w:rsidP="00D00F29">
            <w:pPr>
              <w:jc w:val="right"/>
              <w:rPr>
                <w:rFonts w:eastAsia="Times New Roman" w:cs="Times New Roman"/>
                <w:sz w:val="20"/>
                <w:szCs w:val="20"/>
              </w:rPr>
            </w:pPr>
          </w:p>
        </w:tc>
        <w:tc>
          <w:tcPr>
            <w:tcW w:w="810" w:type="dxa"/>
            <w:tcBorders>
              <w:top w:val="single" w:sz="4" w:space="0" w:color="auto"/>
              <w:left w:val="nil"/>
              <w:bottom w:val="nil"/>
              <w:right w:val="nil"/>
            </w:tcBorders>
            <w:shd w:val="clear" w:color="auto" w:fill="auto"/>
            <w:noWrap/>
          </w:tcPr>
          <w:p w14:paraId="1318CDF2" w14:textId="77777777" w:rsidR="00C522E7" w:rsidRPr="001E52FE" w:rsidRDefault="00C522E7" w:rsidP="00D00F29">
            <w:pPr>
              <w:jc w:val="right"/>
              <w:rPr>
                <w:rFonts w:eastAsia="Times New Roman" w:cs="Times New Roman"/>
                <w:sz w:val="20"/>
                <w:szCs w:val="20"/>
              </w:rPr>
            </w:pPr>
          </w:p>
        </w:tc>
        <w:tc>
          <w:tcPr>
            <w:tcW w:w="810" w:type="dxa"/>
            <w:tcBorders>
              <w:top w:val="single" w:sz="4" w:space="0" w:color="auto"/>
              <w:left w:val="nil"/>
              <w:bottom w:val="nil"/>
              <w:right w:val="nil"/>
            </w:tcBorders>
            <w:shd w:val="clear" w:color="auto" w:fill="auto"/>
            <w:noWrap/>
            <w:vAlign w:val="bottom"/>
          </w:tcPr>
          <w:p w14:paraId="39A1896B" w14:textId="77777777" w:rsidR="00C522E7" w:rsidRPr="001E52FE" w:rsidRDefault="00C522E7" w:rsidP="00D00F29">
            <w:pPr>
              <w:jc w:val="right"/>
              <w:rPr>
                <w:rFonts w:eastAsia="Times New Roman" w:cs="Times New Roman"/>
                <w:sz w:val="20"/>
                <w:szCs w:val="20"/>
              </w:rPr>
            </w:pPr>
          </w:p>
        </w:tc>
      </w:tr>
      <w:tr w:rsidR="00C522E7" w:rsidRPr="001E52FE" w14:paraId="6D0DEF19" w14:textId="77777777" w:rsidTr="00D00F29">
        <w:trPr>
          <w:trHeight w:val="290"/>
        </w:trPr>
        <w:tc>
          <w:tcPr>
            <w:tcW w:w="1890" w:type="dxa"/>
            <w:tcBorders>
              <w:top w:val="nil"/>
              <w:left w:val="nil"/>
              <w:bottom w:val="nil"/>
              <w:right w:val="nil"/>
            </w:tcBorders>
            <w:shd w:val="clear" w:color="auto" w:fill="auto"/>
            <w:hideMark/>
          </w:tcPr>
          <w:p w14:paraId="7409C6DE" w14:textId="77777777" w:rsidR="00C522E7" w:rsidRPr="001E52FE" w:rsidRDefault="00C522E7" w:rsidP="00D00F29">
            <w:pPr>
              <w:rPr>
                <w:rFonts w:eastAsia="Times New Roman" w:cs="Times New Roman"/>
                <w:sz w:val="22"/>
              </w:rPr>
            </w:pPr>
            <w:r w:rsidRPr="001E52FE">
              <w:rPr>
                <w:rFonts w:eastAsia="Times New Roman" w:cs="Times New Roman"/>
                <w:sz w:val="22"/>
              </w:rPr>
              <w:t xml:space="preserve">2. </w:t>
            </w:r>
            <w:proofErr w:type="spellStart"/>
            <w:r w:rsidRPr="001E52FE">
              <w:rPr>
                <w:rFonts w:eastAsia="Times New Roman" w:cs="Times New Roman"/>
                <w:sz w:val="22"/>
              </w:rPr>
              <w:t>AAge</w:t>
            </w:r>
            <w:proofErr w:type="spellEnd"/>
          </w:p>
        </w:tc>
        <w:tc>
          <w:tcPr>
            <w:tcW w:w="1333" w:type="dxa"/>
            <w:tcBorders>
              <w:top w:val="nil"/>
              <w:left w:val="nil"/>
              <w:bottom w:val="nil"/>
              <w:right w:val="nil"/>
            </w:tcBorders>
            <w:shd w:val="clear" w:color="auto" w:fill="auto"/>
            <w:noWrap/>
            <w:vAlign w:val="bottom"/>
            <w:hideMark/>
          </w:tcPr>
          <w:p w14:paraId="361F3147"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19.77 (1.63)</w:t>
            </w:r>
          </w:p>
        </w:tc>
        <w:tc>
          <w:tcPr>
            <w:tcW w:w="827" w:type="dxa"/>
            <w:tcBorders>
              <w:top w:val="nil"/>
              <w:left w:val="nil"/>
              <w:bottom w:val="nil"/>
              <w:right w:val="nil"/>
            </w:tcBorders>
            <w:shd w:val="clear" w:color="auto" w:fill="auto"/>
            <w:noWrap/>
            <w:hideMark/>
          </w:tcPr>
          <w:p w14:paraId="65B249BB"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.07</w:t>
            </w:r>
          </w:p>
        </w:tc>
        <w:tc>
          <w:tcPr>
            <w:tcW w:w="810" w:type="dxa"/>
            <w:tcBorders>
              <w:top w:val="nil"/>
              <w:left w:val="nil"/>
              <w:bottom w:val="nil"/>
              <w:right w:val="nil"/>
            </w:tcBorders>
            <w:shd w:val="clear" w:color="auto" w:fill="auto"/>
            <w:noWrap/>
            <w:hideMark/>
          </w:tcPr>
          <w:p w14:paraId="03C37C14"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7D7BC961"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10E97E56"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68A05287"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698AE21A"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1010F037"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74DC2F9D"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3E1B9EBC" w14:textId="77777777" w:rsidR="00C522E7" w:rsidRPr="001E52FE" w:rsidRDefault="00C522E7" w:rsidP="00D00F29">
            <w:pPr>
              <w:jc w:val="right"/>
              <w:rPr>
                <w:rFonts w:eastAsia="Times New Roman" w:cs="Times New Roman"/>
                <w:sz w:val="20"/>
                <w:szCs w:val="20"/>
              </w:rPr>
            </w:pPr>
          </w:p>
        </w:tc>
        <w:tc>
          <w:tcPr>
            <w:tcW w:w="720" w:type="dxa"/>
            <w:tcBorders>
              <w:top w:val="nil"/>
              <w:left w:val="nil"/>
              <w:bottom w:val="nil"/>
              <w:right w:val="nil"/>
            </w:tcBorders>
            <w:shd w:val="clear" w:color="auto" w:fill="auto"/>
            <w:noWrap/>
            <w:hideMark/>
          </w:tcPr>
          <w:p w14:paraId="44A56026" w14:textId="77777777" w:rsidR="00C522E7" w:rsidRPr="001E52FE" w:rsidRDefault="00C522E7" w:rsidP="00D00F29">
            <w:pPr>
              <w:jc w:val="right"/>
              <w:rPr>
                <w:rFonts w:eastAsia="Times New Roman" w:cs="Times New Roman"/>
                <w:sz w:val="20"/>
                <w:szCs w:val="20"/>
              </w:rPr>
            </w:pPr>
          </w:p>
        </w:tc>
        <w:tc>
          <w:tcPr>
            <w:tcW w:w="900" w:type="dxa"/>
            <w:tcBorders>
              <w:top w:val="nil"/>
              <w:left w:val="nil"/>
              <w:bottom w:val="nil"/>
              <w:right w:val="nil"/>
            </w:tcBorders>
            <w:shd w:val="clear" w:color="auto" w:fill="auto"/>
            <w:noWrap/>
            <w:hideMark/>
          </w:tcPr>
          <w:p w14:paraId="17666115"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4DA71CD9"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1F0A8FD8"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733D113B"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vAlign w:val="bottom"/>
            <w:hideMark/>
          </w:tcPr>
          <w:p w14:paraId="08CAF461" w14:textId="77777777" w:rsidR="00C522E7" w:rsidRPr="001E52FE" w:rsidRDefault="00C522E7" w:rsidP="00D00F29">
            <w:pPr>
              <w:jc w:val="right"/>
              <w:rPr>
                <w:rFonts w:eastAsia="Times New Roman" w:cs="Times New Roman"/>
                <w:sz w:val="20"/>
                <w:szCs w:val="20"/>
              </w:rPr>
            </w:pPr>
          </w:p>
        </w:tc>
      </w:tr>
      <w:tr w:rsidR="00C522E7" w:rsidRPr="001E52FE" w14:paraId="7E06C7CA" w14:textId="77777777" w:rsidTr="00D00F29">
        <w:trPr>
          <w:trHeight w:val="290"/>
        </w:trPr>
        <w:tc>
          <w:tcPr>
            <w:tcW w:w="1890" w:type="dxa"/>
            <w:tcBorders>
              <w:top w:val="nil"/>
              <w:left w:val="nil"/>
              <w:bottom w:val="nil"/>
              <w:right w:val="nil"/>
            </w:tcBorders>
            <w:shd w:val="clear" w:color="auto" w:fill="auto"/>
            <w:hideMark/>
          </w:tcPr>
          <w:p w14:paraId="4A9A8552" w14:textId="77777777" w:rsidR="00C522E7" w:rsidRPr="001E52FE" w:rsidRDefault="00C522E7" w:rsidP="00D00F29">
            <w:pPr>
              <w:rPr>
                <w:rFonts w:eastAsia="Times New Roman" w:cs="Times New Roman"/>
                <w:sz w:val="22"/>
              </w:rPr>
            </w:pPr>
            <w:r w:rsidRPr="001E52FE">
              <w:rPr>
                <w:rFonts w:eastAsia="Times New Roman" w:cs="Times New Roman"/>
                <w:sz w:val="22"/>
              </w:rPr>
              <w:t xml:space="preserve">3. </w:t>
            </w:r>
            <w:proofErr w:type="spellStart"/>
            <w:r w:rsidRPr="001E52FE">
              <w:rPr>
                <w:rFonts w:eastAsia="Times New Roman" w:cs="Times New Roman"/>
                <w:sz w:val="22"/>
              </w:rPr>
              <w:t>APartnerChar</w:t>
            </w:r>
            <w:proofErr w:type="spellEnd"/>
          </w:p>
        </w:tc>
        <w:tc>
          <w:tcPr>
            <w:tcW w:w="1333" w:type="dxa"/>
            <w:tcBorders>
              <w:top w:val="nil"/>
              <w:left w:val="nil"/>
              <w:bottom w:val="nil"/>
              <w:right w:val="nil"/>
            </w:tcBorders>
            <w:shd w:val="clear" w:color="auto" w:fill="auto"/>
            <w:noWrap/>
            <w:vAlign w:val="bottom"/>
            <w:hideMark/>
          </w:tcPr>
          <w:p w14:paraId="24F982B7" w14:textId="27D3FBCF" w:rsidR="00C522E7" w:rsidRPr="001E52FE" w:rsidRDefault="001A3FFE" w:rsidP="00D00F29">
            <w:pPr>
              <w:jc w:val="center"/>
              <w:rPr>
                <w:rFonts w:eastAsia="Times New Roman" w:cs="Times New Roman"/>
                <w:sz w:val="22"/>
              </w:rPr>
            </w:pPr>
            <w:r w:rsidRPr="001E52FE">
              <w:rPr>
                <w:rFonts w:eastAsia="Times New Roman" w:cs="Times New Roman"/>
                <w:sz w:val="22"/>
              </w:rPr>
              <w:t>0</w:t>
            </w:r>
            <w:r w:rsidR="00C522E7" w:rsidRPr="001E52FE">
              <w:rPr>
                <w:rFonts w:eastAsia="Times New Roman" w:cs="Times New Roman"/>
                <w:sz w:val="22"/>
              </w:rPr>
              <w:t>.00 (.76)</w:t>
            </w:r>
          </w:p>
        </w:tc>
        <w:tc>
          <w:tcPr>
            <w:tcW w:w="827" w:type="dxa"/>
            <w:tcBorders>
              <w:top w:val="nil"/>
              <w:left w:val="nil"/>
              <w:bottom w:val="nil"/>
              <w:right w:val="nil"/>
            </w:tcBorders>
            <w:shd w:val="clear" w:color="auto" w:fill="auto"/>
            <w:noWrap/>
            <w:hideMark/>
          </w:tcPr>
          <w:p w14:paraId="13187DDA"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.20*</w:t>
            </w:r>
          </w:p>
        </w:tc>
        <w:tc>
          <w:tcPr>
            <w:tcW w:w="810" w:type="dxa"/>
            <w:tcBorders>
              <w:top w:val="nil"/>
              <w:left w:val="nil"/>
              <w:bottom w:val="nil"/>
              <w:right w:val="nil"/>
            </w:tcBorders>
            <w:shd w:val="clear" w:color="auto" w:fill="auto"/>
            <w:noWrap/>
            <w:hideMark/>
          </w:tcPr>
          <w:p w14:paraId="2DA0BFBB"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.01</w:t>
            </w:r>
          </w:p>
        </w:tc>
        <w:tc>
          <w:tcPr>
            <w:tcW w:w="810" w:type="dxa"/>
            <w:tcBorders>
              <w:top w:val="nil"/>
              <w:left w:val="nil"/>
              <w:bottom w:val="nil"/>
              <w:right w:val="nil"/>
            </w:tcBorders>
            <w:shd w:val="clear" w:color="auto" w:fill="auto"/>
            <w:noWrap/>
            <w:hideMark/>
          </w:tcPr>
          <w:p w14:paraId="0AE830DE"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08A77684"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1B7A4C78"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3DD45902"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16676B29"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1886B7AC"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034108AC" w14:textId="77777777" w:rsidR="00C522E7" w:rsidRPr="001E52FE" w:rsidRDefault="00C522E7" w:rsidP="00D00F29">
            <w:pPr>
              <w:jc w:val="right"/>
              <w:rPr>
                <w:rFonts w:eastAsia="Times New Roman" w:cs="Times New Roman"/>
                <w:sz w:val="20"/>
                <w:szCs w:val="20"/>
              </w:rPr>
            </w:pPr>
          </w:p>
        </w:tc>
        <w:tc>
          <w:tcPr>
            <w:tcW w:w="720" w:type="dxa"/>
            <w:tcBorders>
              <w:top w:val="nil"/>
              <w:left w:val="nil"/>
              <w:bottom w:val="nil"/>
              <w:right w:val="nil"/>
            </w:tcBorders>
            <w:shd w:val="clear" w:color="auto" w:fill="auto"/>
            <w:noWrap/>
            <w:hideMark/>
          </w:tcPr>
          <w:p w14:paraId="70F65106" w14:textId="77777777" w:rsidR="00C522E7" w:rsidRPr="001E52FE" w:rsidRDefault="00C522E7" w:rsidP="00D00F29">
            <w:pPr>
              <w:jc w:val="right"/>
              <w:rPr>
                <w:rFonts w:eastAsia="Times New Roman" w:cs="Times New Roman"/>
                <w:sz w:val="20"/>
                <w:szCs w:val="20"/>
              </w:rPr>
            </w:pPr>
          </w:p>
        </w:tc>
        <w:tc>
          <w:tcPr>
            <w:tcW w:w="900" w:type="dxa"/>
            <w:tcBorders>
              <w:top w:val="nil"/>
              <w:left w:val="nil"/>
              <w:bottom w:val="nil"/>
              <w:right w:val="nil"/>
            </w:tcBorders>
            <w:shd w:val="clear" w:color="auto" w:fill="auto"/>
            <w:noWrap/>
            <w:hideMark/>
          </w:tcPr>
          <w:p w14:paraId="348F4945"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77FAB0CF"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675DDFBF"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175D879E"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vAlign w:val="bottom"/>
            <w:hideMark/>
          </w:tcPr>
          <w:p w14:paraId="7A287B15" w14:textId="77777777" w:rsidR="00C522E7" w:rsidRPr="001E52FE" w:rsidRDefault="00C522E7" w:rsidP="00D00F29">
            <w:pPr>
              <w:jc w:val="right"/>
              <w:rPr>
                <w:rFonts w:eastAsia="Times New Roman" w:cs="Times New Roman"/>
                <w:sz w:val="20"/>
                <w:szCs w:val="20"/>
              </w:rPr>
            </w:pPr>
          </w:p>
        </w:tc>
      </w:tr>
      <w:tr w:rsidR="00C522E7" w:rsidRPr="001E52FE" w14:paraId="103BB2A8" w14:textId="77777777" w:rsidTr="00D00F29">
        <w:trPr>
          <w:trHeight w:val="290"/>
        </w:trPr>
        <w:tc>
          <w:tcPr>
            <w:tcW w:w="1890" w:type="dxa"/>
            <w:tcBorders>
              <w:top w:val="nil"/>
              <w:left w:val="nil"/>
              <w:bottom w:val="nil"/>
              <w:right w:val="nil"/>
            </w:tcBorders>
            <w:shd w:val="clear" w:color="auto" w:fill="auto"/>
            <w:hideMark/>
          </w:tcPr>
          <w:p w14:paraId="652B97A0" w14:textId="77777777" w:rsidR="00C522E7" w:rsidRPr="001E52FE" w:rsidRDefault="00C522E7" w:rsidP="00D00F29">
            <w:pPr>
              <w:rPr>
                <w:rFonts w:eastAsia="Times New Roman" w:cs="Times New Roman"/>
                <w:sz w:val="22"/>
              </w:rPr>
            </w:pPr>
            <w:r w:rsidRPr="001E52FE">
              <w:rPr>
                <w:rFonts w:eastAsia="Times New Roman" w:cs="Times New Roman"/>
                <w:sz w:val="22"/>
              </w:rPr>
              <w:t xml:space="preserve">4. </w:t>
            </w:r>
            <w:proofErr w:type="spellStart"/>
            <w:r w:rsidRPr="001E52FE">
              <w:rPr>
                <w:rFonts w:eastAsia="Times New Roman" w:cs="Times New Roman"/>
                <w:sz w:val="22"/>
              </w:rPr>
              <w:t>A</w:t>
            </w:r>
            <w:r w:rsidRPr="001E52FE">
              <w:t>Intdpd</w:t>
            </w:r>
            <w:proofErr w:type="spellEnd"/>
          </w:p>
        </w:tc>
        <w:tc>
          <w:tcPr>
            <w:tcW w:w="1333" w:type="dxa"/>
            <w:tcBorders>
              <w:top w:val="nil"/>
              <w:left w:val="nil"/>
              <w:bottom w:val="nil"/>
              <w:right w:val="nil"/>
            </w:tcBorders>
            <w:shd w:val="clear" w:color="auto" w:fill="auto"/>
            <w:noWrap/>
            <w:vAlign w:val="bottom"/>
            <w:hideMark/>
          </w:tcPr>
          <w:p w14:paraId="5464D015"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3.24 (.87)</w:t>
            </w:r>
          </w:p>
        </w:tc>
        <w:tc>
          <w:tcPr>
            <w:tcW w:w="827" w:type="dxa"/>
            <w:tcBorders>
              <w:top w:val="nil"/>
              <w:left w:val="nil"/>
              <w:bottom w:val="nil"/>
              <w:right w:val="nil"/>
            </w:tcBorders>
            <w:shd w:val="clear" w:color="auto" w:fill="auto"/>
            <w:noWrap/>
            <w:hideMark/>
          </w:tcPr>
          <w:p w14:paraId="3A8F923E"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.03</w:t>
            </w:r>
          </w:p>
        </w:tc>
        <w:tc>
          <w:tcPr>
            <w:tcW w:w="810" w:type="dxa"/>
            <w:tcBorders>
              <w:top w:val="nil"/>
              <w:left w:val="nil"/>
              <w:bottom w:val="nil"/>
              <w:right w:val="nil"/>
            </w:tcBorders>
            <w:shd w:val="clear" w:color="auto" w:fill="auto"/>
            <w:noWrap/>
            <w:hideMark/>
          </w:tcPr>
          <w:p w14:paraId="30EA1B7B"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-.05</w:t>
            </w:r>
          </w:p>
        </w:tc>
        <w:tc>
          <w:tcPr>
            <w:tcW w:w="810" w:type="dxa"/>
            <w:tcBorders>
              <w:top w:val="nil"/>
              <w:left w:val="nil"/>
              <w:bottom w:val="nil"/>
              <w:right w:val="nil"/>
            </w:tcBorders>
            <w:shd w:val="clear" w:color="auto" w:fill="auto"/>
            <w:noWrap/>
            <w:hideMark/>
          </w:tcPr>
          <w:p w14:paraId="202D180D"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.28***</w:t>
            </w:r>
          </w:p>
        </w:tc>
        <w:tc>
          <w:tcPr>
            <w:tcW w:w="810" w:type="dxa"/>
            <w:tcBorders>
              <w:top w:val="nil"/>
              <w:left w:val="nil"/>
              <w:bottom w:val="nil"/>
              <w:right w:val="nil"/>
            </w:tcBorders>
            <w:shd w:val="clear" w:color="auto" w:fill="auto"/>
            <w:noWrap/>
            <w:hideMark/>
          </w:tcPr>
          <w:p w14:paraId="7D006071"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1280D853"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73F792A2"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7BC150AD"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4240F88E"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518C353A" w14:textId="77777777" w:rsidR="00C522E7" w:rsidRPr="001E52FE" w:rsidRDefault="00C522E7" w:rsidP="00D00F29">
            <w:pPr>
              <w:jc w:val="right"/>
              <w:rPr>
                <w:rFonts w:eastAsia="Times New Roman" w:cs="Times New Roman"/>
                <w:sz w:val="20"/>
                <w:szCs w:val="20"/>
              </w:rPr>
            </w:pPr>
          </w:p>
        </w:tc>
        <w:tc>
          <w:tcPr>
            <w:tcW w:w="720" w:type="dxa"/>
            <w:tcBorders>
              <w:top w:val="nil"/>
              <w:left w:val="nil"/>
              <w:bottom w:val="nil"/>
              <w:right w:val="nil"/>
            </w:tcBorders>
            <w:shd w:val="clear" w:color="auto" w:fill="auto"/>
            <w:noWrap/>
            <w:hideMark/>
          </w:tcPr>
          <w:p w14:paraId="0AE2E384" w14:textId="77777777" w:rsidR="00C522E7" w:rsidRPr="001E52FE" w:rsidRDefault="00C522E7" w:rsidP="00D00F29">
            <w:pPr>
              <w:jc w:val="right"/>
              <w:rPr>
                <w:rFonts w:eastAsia="Times New Roman" w:cs="Times New Roman"/>
                <w:sz w:val="20"/>
                <w:szCs w:val="20"/>
              </w:rPr>
            </w:pPr>
          </w:p>
        </w:tc>
        <w:tc>
          <w:tcPr>
            <w:tcW w:w="900" w:type="dxa"/>
            <w:tcBorders>
              <w:top w:val="nil"/>
              <w:left w:val="nil"/>
              <w:bottom w:val="nil"/>
              <w:right w:val="nil"/>
            </w:tcBorders>
            <w:shd w:val="clear" w:color="auto" w:fill="auto"/>
            <w:noWrap/>
            <w:hideMark/>
          </w:tcPr>
          <w:p w14:paraId="3D3EF294"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32ECF760"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47DAEF06"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35108828"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vAlign w:val="bottom"/>
            <w:hideMark/>
          </w:tcPr>
          <w:p w14:paraId="56442B3D" w14:textId="77777777" w:rsidR="00C522E7" w:rsidRPr="001E52FE" w:rsidRDefault="00C522E7" w:rsidP="00D00F29">
            <w:pPr>
              <w:jc w:val="right"/>
              <w:rPr>
                <w:rFonts w:eastAsia="Times New Roman" w:cs="Times New Roman"/>
                <w:sz w:val="20"/>
                <w:szCs w:val="20"/>
              </w:rPr>
            </w:pPr>
          </w:p>
        </w:tc>
      </w:tr>
      <w:tr w:rsidR="00C522E7" w:rsidRPr="001E52FE" w14:paraId="571D6BE6" w14:textId="77777777" w:rsidTr="00D00F29">
        <w:trPr>
          <w:trHeight w:val="290"/>
        </w:trPr>
        <w:tc>
          <w:tcPr>
            <w:tcW w:w="1890" w:type="dxa"/>
            <w:tcBorders>
              <w:top w:val="nil"/>
              <w:left w:val="nil"/>
              <w:bottom w:val="nil"/>
              <w:right w:val="nil"/>
            </w:tcBorders>
            <w:shd w:val="clear" w:color="auto" w:fill="auto"/>
            <w:hideMark/>
          </w:tcPr>
          <w:p w14:paraId="5D41954C" w14:textId="77777777" w:rsidR="00C522E7" w:rsidRPr="001E52FE" w:rsidRDefault="00C522E7" w:rsidP="00D00F29">
            <w:pPr>
              <w:rPr>
                <w:rFonts w:eastAsia="Times New Roman" w:cs="Times New Roman"/>
                <w:sz w:val="22"/>
              </w:rPr>
            </w:pPr>
            <w:r w:rsidRPr="001E52FE">
              <w:rPr>
                <w:rFonts w:eastAsia="Times New Roman" w:cs="Times New Roman"/>
                <w:sz w:val="22"/>
              </w:rPr>
              <w:t xml:space="preserve">5. </w:t>
            </w:r>
            <w:proofErr w:type="spellStart"/>
            <w:r w:rsidRPr="001E52FE">
              <w:rPr>
                <w:rFonts w:eastAsia="Times New Roman" w:cs="Times New Roman"/>
                <w:sz w:val="22"/>
              </w:rPr>
              <w:t>ACloseness</w:t>
            </w:r>
            <w:proofErr w:type="spellEnd"/>
          </w:p>
        </w:tc>
        <w:tc>
          <w:tcPr>
            <w:tcW w:w="1333" w:type="dxa"/>
            <w:tcBorders>
              <w:top w:val="nil"/>
              <w:left w:val="nil"/>
              <w:bottom w:val="nil"/>
              <w:right w:val="nil"/>
            </w:tcBorders>
            <w:shd w:val="clear" w:color="auto" w:fill="auto"/>
            <w:noWrap/>
            <w:vAlign w:val="bottom"/>
            <w:hideMark/>
          </w:tcPr>
          <w:p w14:paraId="38095C47"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2.95 (.66)</w:t>
            </w:r>
          </w:p>
        </w:tc>
        <w:tc>
          <w:tcPr>
            <w:tcW w:w="827" w:type="dxa"/>
            <w:tcBorders>
              <w:top w:val="nil"/>
              <w:left w:val="nil"/>
              <w:bottom w:val="nil"/>
              <w:right w:val="nil"/>
            </w:tcBorders>
            <w:shd w:val="clear" w:color="auto" w:fill="auto"/>
            <w:noWrap/>
            <w:hideMark/>
          </w:tcPr>
          <w:p w14:paraId="5A25D733"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.20*</w:t>
            </w:r>
          </w:p>
        </w:tc>
        <w:tc>
          <w:tcPr>
            <w:tcW w:w="810" w:type="dxa"/>
            <w:tcBorders>
              <w:top w:val="nil"/>
              <w:left w:val="nil"/>
              <w:bottom w:val="nil"/>
              <w:right w:val="nil"/>
            </w:tcBorders>
            <w:shd w:val="clear" w:color="auto" w:fill="auto"/>
            <w:noWrap/>
            <w:hideMark/>
          </w:tcPr>
          <w:p w14:paraId="78BD9D56"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-.05</w:t>
            </w:r>
          </w:p>
        </w:tc>
        <w:tc>
          <w:tcPr>
            <w:tcW w:w="810" w:type="dxa"/>
            <w:tcBorders>
              <w:top w:val="nil"/>
              <w:left w:val="nil"/>
              <w:bottom w:val="nil"/>
              <w:right w:val="nil"/>
            </w:tcBorders>
            <w:shd w:val="clear" w:color="auto" w:fill="auto"/>
            <w:noWrap/>
            <w:hideMark/>
          </w:tcPr>
          <w:p w14:paraId="1D49D5F8"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.44***</w:t>
            </w:r>
          </w:p>
        </w:tc>
        <w:tc>
          <w:tcPr>
            <w:tcW w:w="810" w:type="dxa"/>
            <w:tcBorders>
              <w:top w:val="nil"/>
              <w:left w:val="nil"/>
              <w:bottom w:val="nil"/>
              <w:right w:val="nil"/>
            </w:tcBorders>
            <w:shd w:val="clear" w:color="auto" w:fill="auto"/>
            <w:noWrap/>
            <w:hideMark/>
          </w:tcPr>
          <w:p w14:paraId="34A249F6"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.59***</w:t>
            </w:r>
          </w:p>
        </w:tc>
        <w:tc>
          <w:tcPr>
            <w:tcW w:w="810" w:type="dxa"/>
            <w:tcBorders>
              <w:top w:val="nil"/>
              <w:left w:val="nil"/>
              <w:bottom w:val="nil"/>
              <w:right w:val="nil"/>
            </w:tcBorders>
            <w:shd w:val="clear" w:color="auto" w:fill="auto"/>
            <w:noWrap/>
            <w:hideMark/>
          </w:tcPr>
          <w:p w14:paraId="50FC250D"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742656E2"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7DE02345"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1AB601FC"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5376D406" w14:textId="77777777" w:rsidR="00C522E7" w:rsidRPr="001E52FE" w:rsidRDefault="00C522E7" w:rsidP="00D00F29">
            <w:pPr>
              <w:jc w:val="right"/>
              <w:rPr>
                <w:rFonts w:eastAsia="Times New Roman" w:cs="Times New Roman"/>
                <w:sz w:val="20"/>
                <w:szCs w:val="20"/>
              </w:rPr>
            </w:pPr>
          </w:p>
        </w:tc>
        <w:tc>
          <w:tcPr>
            <w:tcW w:w="720" w:type="dxa"/>
            <w:tcBorders>
              <w:top w:val="nil"/>
              <w:left w:val="nil"/>
              <w:bottom w:val="nil"/>
              <w:right w:val="nil"/>
            </w:tcBorders>
            <w:shd w:val="clear" w:color="auto" w:fill="auto"/>
            <w:noWrap/>
            <w:hideMark/>
          </w:tcPr>
          <w:p w14:paraId="10B0BBDB" w14:textId="77777777" w:rsidR="00C522E7" w:rsidRPr="001E52FE" w:rsidRDefault="00C522E7" w:rsidP="00D00F29">
            <w:pPr>
              <w:jc w:val="right"/>
              <w:rPr>
                <w:rFonts w:eastAsia="Times New Roman" w:cs="Times New Roman"/>
                <w:sz w:val="20"/>
                <w:szCs w:val="20"/>
              </w:rPr>
            </w:pPr>
          </w:p>
        </w:tc>
        <w:tc>
          <w:tcPr>
            <w:tcW w:w="900" w:type="dxa"/>
            <w:tcBorders>
              <w:top w:val="nil"/>
              <w:left w:val="nil"/>
              <w:bottom w:val="nil"/>
              <w:right w:val="nil"/>
            </w:tcBorders>
            <w:shd w:val="clear" w:color="auto" w:fill="auto"/>
            <w:noWrap/>
            <w:hideMark/>
          </w:tcPr>
          <w:p w14:paraId="67237395"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56160FB7"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2765D199"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0826A690"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vAlign w:val="bottom"/>
            <w:hideMark/>
          </w:tcPr>
          <w:p w14:paraId="4DD09CD5" w14:textId="77777777" w:rsidR="00C522E7" w:rsidRPr="001E52FE" w:rsidRDefault="00C522E7" w:rsidP="00D00F29">
            <w:pPr>
              <w:jc w:val="right"/>
              <w:rPr>
                <w:rFonts w:eastAsia="Times New Roman" w:cs="Times New Roman"/>
                <w:sz w:val="20"/>
                <w:szCs w:val="20"/>
              </w:rPr>
            </w:pPr>
          </w:p>
        </w:tc>
      </w:tr>
      <w:tr w:rsidR="00C522E7" w:rsidRPr="001E52FE" w14:paraId="4CCB4463" w14:textId="77777777" w:rsidTr="00D00F29">
        <w:trPr>
          <w:trHeight w:val="290"/>
        </w:trPr>
        <w:tc>
          <w:tcPr>
            <w:tcW w:w="1890" w:type="dxa"/>
            <w:tcBorders>
              <w:top w:val="nil"/>
              <w:left w:val="nil"/>
              <w:bottom w:val="nil"/>
              <w:right w:val="nil"/>
            </w:tcBorders>
            <w:shd w:val="clear" w:color="auto" w:fill="auto"/>
            <w:hideMark/>
          </w:tcPr>
          <w:p w14:paraId="1EC12C33" w14:textId="77777777" w:rsidR="00C522E7" w:rsidRPr="001E52FE" w:rsidRDefault="00C522E7" w:rsidP="00D00F29">
            <w:pPr>
              <w:rPr>
                <w:rFonts w:eastAsia="Times New Roman" w:cs="Times New Roman"/>
                <w:sz w:val="22"/>
              </w:rPr>
            </w:pPr>
            <w:r w:rsidRPr="001E52FE">
              <w:rPr>
                <w:rFonts w:eastAsia="Times New Roman" w:cs="Times New Roman"/>
                <w:sz w:val="22"/>
              </w:rPr>
              <w:t xml:space="preserve">6. </w:t>
            </w:r>
            <w:proofErr w:type="spellStart"/>
            <w:r w:rsidRPr="001E52FE">
              <w:rPr>
                <w:rFonts w:eastAsia="Times New Roman" w:cs="Times New Roman"/>
                <w:sz w:val="22"/>
              </w:rPr>
              <w:t>ASupport</w:t>
            </w:r>
            <w:proofErr w:type="spellEnd"/>
          </w:p>
        </w:tc>
        <w:tc>
          <w:tcPr>
            <w:tcW w:w="1333" w:type="dxa"/>
            <w:tcBorders>
              <w:top w:val="nil"/>
              <w:left w:val="nil"/>
              <w:bottom w:val="nil"/>
              <w:right w:val="nil"/>
            </w:tcBorders>
            <w:shd w:val="clear" w:color="auto" w:fill="auto"/>
            <w:noWrap/>
            <w:vAlign w:val="bottom"/>
            <w:hideMark/>
          </w:tcPr>
          <w:p w14:paraId="73C96B9A" w14:textId="748370A2" w:rsidR="00C522E7" w:rsidRPr="001E52FE" w:rsidRDefault="001A3FFE" w:rsidP="00D00F29">
            <w:pPr>
              <w:jc w:val="center"/>
              <w:rPr>
                <w:rFonts w:eastAsia="Times New Roman" w:cs="Times New Roman"/>
                <w:sz w:val="22"/>
              </w:rPr>
            </w:pPr>
            <w:r w:rsidRPr="001E52FE">
              <w:rPr>
                <w:rFonts w:eastAsia="Times New Roman" w:cs="Times New Roman"/>
                <w:sz w:val="22"/>
              </w:rPr>
              <w:t>0</w:t>
            </w:r>
            <w:r w:rsidR="00C522E7" w:rsidRPr="001E52FE">
              <w:rPr>
                <w:rFonts w:eastAsia="Times New Roman" w:cs="Times New Roman"/>
                <w:sz w:val="22"/>
              </w:rPr>
              <w:t>.00 (.83)</w:t>
            </w:r>
          </w:p>
        </w:tc>
        <w:tc>
          <w:tcPr>
            <w:tcW w:w="827" w:type="dxa"/>
            <w:tcBorders>
              <w:top w:val="nil"/>
              <w:left w:val="nil"/>
              <w:bottom w:val="nil"/>
              <w:right w:val="nil"/>
            </w:tcBorders>
            <w:shd w:val="clear" w:color="auto" w:fill="auto"/>
            <w:noWrap/>
            <w:hideMark/>
          </w:tcPr>
          <w:p w14:paraId="1131F34D"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.39***</w:t>
            </w:r>
          </w:p>
        </w:tc>
        <w:tc>
          <w:tcPr>
            <w:tcW w:w="810" w:type="dxa"/>
            <w:tcBorders>
              <w:top w:val="nil"/>
              <w:left w:val="nil"/>
              <w:bottom w:val="nil"/>
              <w:right w:val="nil"/>
            </w:tcBorders>
            <w:shd w:val="clear" w:color="auto" w:fill="auto"/>
            <w:noWrap/>
            <w:hideMark/>
          </w:tcPr>
          <w:p w14:paraId="444F8A4B"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-.08</w:t>
            </w:r>
          </w:p>
        </w:tc>
        <w:tc>
          <w:tcPr>
            <w:tcW w:w="810" w:type="dxa"/>
            <w:tcBorders>
              <w:top w:val="nil"/>
              <w:left w:val="nil"/>
              <w:bottom w:val="nil"/>
              <w:right w:val="nil"/>
            </w:tcBorders>
            <w:shd w:val="clear" w:color="auto" w:fill="auto"/>
            <w:noWrap/>
            <w:hideMark/>
          </w:tcPr>
          <w:p w14:paraId="3A79375D"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.50***</w:t>
            </w:r>
          </w:p>
        </w:tc>
        <w:tc>
          <w:tcPr>
            <w:tcW w:w="810" w:type="dxa"/>
            <w:tcBorders>
              <w:top w:val="nil"/>
              <w:left w:val="nil"/>
              <w:bottom w:val="nil"/>
              <w:right w:val="nil"/>
            </w:tcBorders>
            <w:shd w:val="clear" w:color="auto" w:fill="auto"/>
            <w:noWrap/>
            <w:hideMark/>
          </w:tcPr>
          <w:p w14:paraId="574DB5A3"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.42***</w:t>
            </w:r>
          </w:p>
        </w:tc>
        <w:tc>
          <w:tcPr>
            <w:tcW w:w="810" w:type="dxa"/>
            <w:tcBorders>
              <w:top w:val="nil"/>
              <w:left w:val="nil"/>
              <w:bottom w:val="nil"/>
              <w:right w:val="nil"/>
            </w:tcBorders>
            <w:shd w:val="clear" w:color="auto" w:fill="auto"/>
            <w:noWrap/>
            <w:hideMark/>
          </w:tcPr>
          <w:p w14:paraId="5B3E19A9"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.70***</w:t>
            </w:r>
          </w:p>
        </w:tc>
        <w:tc>
          <w:tcPr>
            <w:tcW w:w="810" w:type="dxa"/>
            <w:tcBorders>
              <w:top w:val="nil"/>
              <w:left w:val="nil"/>
              <w:bottom w:val="nil"/>
              <w:right w:val="nil"/>
            </w:tcBorders>
            <w:shd w:val="clear" w:color="auto" w:fill="auto"/>
            <w:noWrap/>
            <w:hideMark/>
          </w:tcPr>
          <w:p w14:paraId="786B545D"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48906A2C"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6745F386"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019C37D8" w14:textId="77777777" w:rsidR="00C522E7" w:rsidRPr="001E52FE" w:rsidRDefault="00C522E7" w:rsidP="00D00F29">
            <w:pPr>
              <w:jc w:val="right"/>
              <w:rPr>
                <w:rFonts w:eastAsia="Times New Roman" w:cs="Times New Roman"/>
                <w:sz w:val="20"/>
                <w:szCs w:val="20"/>
              </w:rPr>
            </w:pPr>
          </w:p>
        </w:tc>
        <w:tc>
          <w:tcPr>
            <w:tcW w:w="720" w:type="dxa"/>
            <w:tcBorders>
              <w:top w:val="nil"/>
              <w:left w:val="nil"/>
              <w:bottom w:val="nil"/>
              <w:right w:val="nil"/>
            </w:tcBorders>
            <w:shd w:val="clear" w:color="auto" w:fill="auto"/>
            <w:noWrap/>
            <w:hideMark/>
          </w:tcPr>
          <w:p w14:paraId="61171CFA" w14:textId="77777777" w:rsidR="00C522E7" w:rsidRPr="001E52FE" w:rsidRDefault="00C522E7" w:rsidP="00D00F29">
            <w:pPr>
              <w:jc w:val="right"/>
              <w:rPr>
                <w:rFonts w:eastAsia="Times New Roman" w:cs="Times New Roman"/>
                <w:sz w:val="20"/>
                <w:szCs w:val="20"/>
              </w:rPr>
            </w:pPr>
          </w:p>
        </w:tc>
        <w:tc>
          <w:tcPr>
            <w:tcW w:w="900" w:type="dxa"/>
            <w:tcBorders>
              <w:top w:val="nil"/>
              <w:left w:val="nil"/>
              <w:bottom w:val="nil"/>
              <w:right w:val="nil"/>
            </w:tcBorders>
            <w:shd w:val="clear" w:color="auto" w:fill="auto"/>
            <w:noWrap/>
            <w:hideMark/>
          </w:tcPr>
          <w:p w14:paraId="4EBF95E9"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26E6F0F3"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04B663F0"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64249081"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vAlign w:val="bottom"/>
            <w:hideMark/>
          </w:tcPr>
          <w:p w14:paraId="69C8860B" w14:textId="77777777" w:rsidR="00C522E7" w:rsidRPr="001E52FE" w:rsidRDefault="00C522E7" w:rsidP="00D00F29">
            <w:pPr>
              <w:jc w:val="right"/>
              <w:rPr>
                <w:rFonts w:eastAsia="Times New Roman" w:cs="Times New Roman"/>
                <w:sz w:val="20"/>
                <w:szCs w:val="20"/>
              </w:rPr>
            </w:pPr>
          </w:p>
        </w:tc>
      </w:tr>
      <w:tr w:rsidR="00C522E7" w:rsidRPr="001E52FE" w14:paraId="1A58C351" w14:textId="77777777" w:rsidTr="00D00F29">
        <w:trPr>
          <w:trHeight w:val="290"/>
        </w:trPr>
        <w:tc>
          <w:tcPr>
            <w:tcW w:w="1890" w:type="dxa"/>
            <w:tcBorders>
              <w:top w:val="nil"/>
              <w:left w:val="nil"/>
              <w:bottom w:val="nil"/>
              <w:right w:val="nil"/>
            </w:tcBorders>
            <w:shd w:val="clear" w:color="auto" w:fill="auto"/>
            <w:hideMark/>
          </w:tcPr>
          <w:p w14:paraId="2D0B757D" w14:textId="77777777" w:rsidR="00C522E7" w:rsidRPr="001E52FE" w:rsidRDefault="00C522E7" w:rsidP="00D00F29">
            <w:pPr>
              <w:rPr>
                <w:rFonts w:eastAsia="Times New Roman" w:cs="Times New Roman"/>
                <w:sz w:val="22"/>
              </w:rPr>
            </w:pPr>
            <w:r w:rsidRPr="001E52FE">
              <w:rPr>
                <w:rFonts w:eastAsia="Times New Roman" w:cs="Times New Roman"/>
                <w:sz w:val="22"/>
              </w:rPr>
              <w:t xml:space="preserve">7. </w:t>
            </w:r>
            <w:proofErr w:type="spellStart"/>
            <w:r w:rsidRPr="001E52FE">
              <w:rPr>
                <w:rFonts w:eastAsia="Times New Roman" w:cs="Times New Roman"/>
                <w:sz w:val="22"/>
              </w:rPr>
              <w:t>AAdvQual</w:t>
            </w:r>
            <w:proofErr w:type="spellEnd"/>
          </w:p>
        </w:tc>
        <w:tc>
          <w:tcPr>
            <w:tcW w:w="1333" w:type="dxa"/>
            <w:tcBorders>
              <w:top w:val="nil"/>
              <w:left w:val="nil"/>
              <w:bottom w:val="nil"/>
              <w:right w:val="nil"/>
            </w:tcBorders>
            <w:shd w:val="clear" w:color="auto" w:fill="auto"/>
            <w:noWrap/>
            <w:vAlign w:val="bottom"/>
            <w:hideMark/>
          </w:tcPr>
          <w:p w14:paraId="2BA708FD"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4.09 (.59)</w:t>
            </w:r>
          </w:p>
        </w:tc>
        <w:tc>
          <w:tcPr>
            <w:tcW w:w="827" w:type="dxa"/>
            <w:tcBorders>
              <w:top w:val="nil"/>
              <w:left w:val="nil"/>
              <w:bottom w:val="nil"/>
              <w:right w:val="nil"/>
            </w:tcBorders>
            <w:shd w:val="clear" w:color="auto" w:fill="auto"/>
            <w:noWrap/>
            <w:hideMark/>
          </w:tcPr>
          <w:p w14:paraId="42109DD0"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.04</w:t>
            </w:r>
          </w:p>
        </w:tc>
        <w:tc>
          <w:tcPr>
            <w:tcW w:w="810" w:type="dxa"/>
            <w:tcBorders>
              <w:top w:val="nil"/>
              <w:left w:val="nil"/>
              <w:bottom w:val="nil"/>
              <w:right w:val="nil"/>
            </w:tcBorders>
            <w:shd w:val="clear" w:color="auto" w:fill="auto"/>
            <w:noWrap/>
            <w:hideMark/>
          </w:tcPr>
          <w:p w14:paraId="12830E7B"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-.03</w:t>
            </w:r>
          </w:p>
        </w:tc>
        <w:tc>
          <w:tcPr>
            <w:tcW w:w="810" w:type="dxa"/>
            <w:tcBorders>
              <w:top w:val="nil"/>
              <w:left w:val="nil"/>
              <w:bottom w:val="nil"/>
              <w:right w:val="nil"/>
            </w:tcBorders>
            <w:shd w:val="clear" w:color="auto" w:fill="auto"/>
            <w:noWrap/>
            <w:hideMark/>
          </w:tcPr>
          <w:p w14:paraId="48CF36F6"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.15</w:t>
            </w:r>
            <w:r w:rsidR="00A979FC" w:rsidRPr="001E52FE">
              <w:rPr>
                <w:rFonts w:eastAsia="Times New Roman" w:cs="Times New Roman"/>
                <w:sz w:val="20"/>
                <w:szCs w:val="20"/>
              </w:rPr>
              <w:t>†</w:t>
            </w:r>
          </w:p>
        </w:tc>
        <w:tc>
          <w:tcPr>
            <w:tcW w:w="810" w:type="dxa"/>
            <w:tcBorders>
              <w:top w:val="nil"/>
              <w:left w:val="nil"/>
              <w:bottom w:val="nil"/>
              <w:right w:val="nil"/>
            </w:tcBorders>
            <w:shd w:val="clear" w:color="auto" w:fill="auto"/>
            <w:noWrap/>
            <w:hideMark/>
          </w:tcPr>
          <w:p w14:paraId="507C50A3"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.03</w:t>
            </w:r>
          </w:p>
        </w:tc>
        <w:tc>
          <w:tcPr>
            <w:tcW w:w="810" w:type="dxa"/>
            <w:tcBorders>
              <w:top w:val="nil"/>
              <w:left w:val="nil"/>
              <w:bottom w:val="nil"/>
              <w:right w:val="nil"/>
            </w:tcBorders>
            <w:shd w:val="clear" w:color="auto" w:fill="auto"/>
            <w:noWrap/>
            <w:hideMark/>
          </w:tcPr>
          <w:p w14:paraId="4C2E4BD0"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.11</w:t>
            </w:r>
          </w:p>
        </w:tc>
        <w:tc>
          <w:tcPr>
            <w:tcW w:w="810" w:type="dxa"/>
            <w:tcBorders>
              <w:top w:val="nil"/>
              <w:left w:val="nil"/>
              <w:bottom w:val="nil"/>
              <w:right w:val="nil"/>
            </w:tcBorders>
            <w:shd w:val="clear" w:color="auto" w:fill="auto"/>
            <w:noWrap/>
            <w:hideMark/>
          </w:tcPr>
          <w:p w14:paraId="271F5929"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.21*</w:t>
            </w:r>
          </w:p>
        </w:tc>
        <w:tc>
          <w:tcPr>
            <w:tcW w:w="810" w:type="dxa"/>
            <w:tcBorders>
              <w:top w:val="nil"/>
              <w:left w:val="nil"/>
              <w:bottom w:val="nil"/>
              <w:right w:val="nil"/>
            </w:tcBorders>
            <w:shd w:val="clear" w:color="auto" w:fill="auto"/>
            <w:noWrap/>
            <w:hideMark/>
          </w:tcPr>
          <w:p w14:paraId="78AC3143"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00EAE076"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4DB1D1ED" w14:textId="77777777" w:rsidR="00C522E7" w:rsidRPr="001E52FE" w:rsidRDefault="00C522E7" w:rsidP="00D00F29">
            <w:pPr>
              <w:jc w:val="right"/>
              <w:rPr>
                <w:rFonts w:eastAsia="Times New Roman" w:cs="Times New Roman"/>
                <w:sz w:val="20"/>
                <w:szCs w:val="20"/>
              </w:rPr>
            </w:pPr>
          </w:p>
        </w:tc>
        <w:tc>
          <w:tcPr>
            <w:tcW w:w="720" w:type="dxa"/>
            <w:tcBorders>
              <w:top w:val="nil"/>
              <w:left w:val="nil"/>
              <w:bottom w:val="nil"/>
              <w:right w:val="nil"/>
            </w:tcBorders>
            <w:shd w:val="clear" w:color="auto" w:fill="auto"/>
            <w:noWrap/>
            <w:hideMark/>
          </w:tcPr>
          <w:p w14:paraId="39CF60BE" w14:textId="77777777" w:rsidR="00C522E7" w:rsidRPr="001E52FE" w:rsidRDefault="00C522E7" w:rsidP="00D00F29">
            <w:pPr>
              <w:jc w:val="right"/>
              <w:rPr>
                <w:rFonts w:eastAsia="Times New Roman" w:cs="Times New Roman"/>
                <w:sz w:val="20"/>
                <w:szCs w:val="20"/>
              </w:rPr>
            </w:pPr>
          </w:p>
        </w:tc>
        <w:tc>
          <w:tcPr>
            <w:tcW w:w="900" w:type="dxa"/>
            <w:tcBorders>
              <w:top w:val="nil"/>
              <w:left w:val="nil"/>
              <w:bottom w:val="nil"/>
              <w:right w:val="nil"/>
            </w:tcBorders>
            <w:shd w:val="clear" w:color="auto" w:fill="auto"/>
            <w:noWrap/>
            <w:hideMark/>
          </w:tcPr>
          <w:p w14:paraId="63BF30B0"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38BBBDB5"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1569A691"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1127CC0A"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vAlign w:val="bottom"/>
            <w:hideMark/>
          </w:tcPr>
          <w:p w14:paraId="3ECB5A6C" w14:textId="77777777" w:rsidR="00C522E7" w:rsidRPr="001E52FE" w:rsidRDefault="00C522E7" w:rsidP="00D00F29">
            <w:pPr>
              <w:jc w:val="right"/>
              <w:rPr>
                <w:rFonts w:eastAsia="Times New Roman" w:cs="Times New Roman"/>
                <w:sz w:val="20"/>
                <w:szCs w:val="20"/>
              </w:rPr>
            </w:pPr>
          </w:p>
        </w:tc>
      </w:tr>
      <w:tr w:rsidR="00C522E7" w:rsidRPr="001E52FE" w14:paraId="436CEABA" w14:textId="77777777" w:rsidTr="00D00F29">
        <w:trPr>
          <w:trHeight w:val="290"/>
        </w:trPr>
        <w:tc>
          <w:tcPr>
            <w:tcW w:w="1890" w:type="dxa"/>
            <w:tcBorders>
              <w:top w:val="nil"/>
              <w:left w:val="nil"/>
              <w:bottom w:val="nil"/>
              <w:right w:val="nil"/>
            </w:tcBorders>
            <w:shd w:val="clear" w:color="auto" w:fill="auto"/>
            <w:hideMark/>
          </w:tcPr>
          <w:p w14:paraId="5A49CB59" w14:textId="77777777" w:rsidR="00C522E7" w:rsidRPr="001E52FE" w:rsidRDefault="00C522E7" w:rsidP="00D00F29">
            <w:pPr>
              <w:rPr>
                <w:rFonts w:eastAsia="Times New Roman" w:cs="Times New Roman"/>
                <w:sz w:val="22"/>
              </w:rPr>
            </w:pPr>
            <w:r w:rsidRPr="001E52FE">
              <w:rPr>
                <w:rFonts w:eastAsia="Times New Roman" w:cs="Times New Roman"/>
                <w:sz w:val="22"/>
              </w:rPr>
              <w:t xml:space="preserve">8. </w:t>
            </w:r>
            <w:proofErr w:type="spellStart"/>
            <w:r w:rsidRPr="001E52FE">
              <w:rPr>
                <w:rFonts w:eastAsia="Times New Roman" w:cs="Times New Roman"/>
                <w:sz w:val="22"/>
              </w:rPr>
              <w:t>AConvSat</w:t>
            </w:r>
            <w:proofErr w:type="spellEnd"/>
          </w:p>
        </w:tc>
        <w:tc>
          <w:tcPr>
            <w:tcW w:w="1333" w:type="dxa"/>
            <w:tcBorders>
              <w:top w:val="nil"/>
              <w:left w:val="nil"/>
              <w:bottom w:val="nil"/>
              <w:right w:val="nil"/>
            </w:tcBorders>
            <w:shd w:val="clear" w:color="auto" w:fill="auto"/>
            <w:noWrap/>
            <w:vAlign w:val="bottom"/>
            <w:hideMark/>
          </w:tcPr>
          <w:p w14:paraId="5C0AF5C3"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4.29 (.59)</w:t>
            </w:r>
          </w:p>
        </w:tc>
        <w:tc>
          <w:tcPr>
            <w:tcW w:w="827" w:type="dxa"/>
            <w:tcBorders>
              <w:top w:val="nil"/>
              <w:left w:val="nil"/>
              <w:bottom w:val="nil"/>
              <w:right w:val="nil"/>
            </w:tcBorders>
            <w:shd w:val="clear" w:color="auto" w:fill="auto"/>
            <w:noWrap/>
            <w:hideMark/>
          </w:tcPr>
          <w:p w14:paraId="2B833147"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.10</w:t>
            </w:r>
          </w:p>
        </w:tc>
        <w:tc>
          <w:tcPr>
            <w:tcW w:w="810" w:type="dxa"/>
            <w:tcBorders>
              <w:top w:val="nil"/>
              <w:left w:val="nil"/>
              <w:bottom w:val="nil"/>
              <w:right w:val="nil"/>
            </w:tcBorders>
            <w:shd w:val="clear" w:color="auto" w:fill="auto"/>
            <w:noWrap/>
            <w:hideMark/>
          </w:tcPr>
          <w:p w14:paraId="630638CC"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-.15</w:t>
            </w:r>
            <w:r w:rsidR="00A979FC" w:rsidRPr="001E52FE">
              <w:rPr>
                <w:rFonts w:eastAsia="Times New Roman" w:cs="Times New Roman"/>
                <w:sz w:val="20"/>
                <w:szCs w:val="20"/>
              </w:rPr>
              <w:t>†</w:t>
            </w:r>
          </w:p>
        </w:tc>
        <w:tc>
          <w:tcPr>
            <w:tcW w:w="810" w:type="dxa"/>
            <w:tcBorders>
              <w:top w:val="nil"/>
              <w:left w:val="nil"/>
              <w:bottom w:val="nil"/>
              <w:right w:val="nil"/>
            </w:tcBorders>
            <w:shd w:val="clear" w:color="auto" w:fill="auto"/>
            <w:noWrap/>
            <w:hideMark/>
          </w:tcPr>
          <w:p w14:paraId="00BDD94F"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.16</w:t>
            </w:r>
            <w:r w:rsidR="00A979FC" w:rsidRPr="001E52FE">
              <w:rPr>
                <w:rFonts w:eastAsia="Times New Roman" w:cs="Times New Roman"/>
                <w:sz w:val="20"/>
                <w:szCs w:val="20"/>
              </w:rPr>
              <w:t>†</w:t>
            </w:r>
          </w:p>
        </w:tc>
        <w:tc>
          <w:tcPr>
            <w:tcW w:w="810" w:type="dxa"/>
            <w:tcBorders>
              <w:top w:val="nil"/>
              <w:left w:val="nil"/>
              <w:bottom w:val="nil"/>
              <w:right w:val="nil"/>
            </w:tcBorders>
            <w:shd w:val="clear" w:color="auto" w:fill="auto"/>
            <w:noWrap/>
            <w:hideMark/>
          </w:tcPr>
          <w:p w14:paraId="0E464E18"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-.08</w:t>
            </w:r>
          </w:p>
        </w:tc>
        <w:tc>
          <w:tcPr>
            <w:tcW w:w="810" w:type="dxa"/>
            <w:tcBorders>
              <w:top w:val="nil"/>
              <w:left w:val="nil"/>
              <w:bottom w:val="nil"/>
              <w:right w:val="nil"/>
            </w:tcBorders>
            <w:shd w:val="clear" w:color="auto" w:fill="auto"/>
            <w:noWrap/>
            <w:hideMark/>
          </w:tcPr>
          <w:p w14:paraId="3A2EB082"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.00</w:t>
            </w:r>
          </w:p>
        </w:tc>
        <w:tc>
          <w:tcPr>
            <w:tcW w:w="810" w:type="dxa"/>
            <w:tcBorders>
              <w:top w:val="nil"/>
              <w:left w:val="nil"/>
              <w:bottom w:val="nil"/>
              <w:right w:val="nil"/>
            </w:tcBorders>
            <w:shd w:val="clear" w:color="auto" w:fill="auto"/>
            <w:noWrap/>
            <w:hideMark/>
          </w:tcPr>
          <w:p w14:paraId="2C363CA3"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.24***</w:t>
            </w:r>
          </w:p>
        </w:tc>
        <w:tc>
          <w:tcPr>
            <w:tcW w:w="810" w:type="dxa"/>
            <w:tcBorders>
              <w:top w:val="nil"/>
              <w:left w:val="nil"/>
              <w:bottom w:val="nil"/>
              <w:right w:val="nil"/>
            </w:tcBorders>
            <w:shd w:val="clear" w:color="auto" w:fill="auto"/>
            <w:noWrap/>
            <w:hideMark/>
          </w:tcPr>
          <w:p w14:paraId="37C10D6F"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.37***</w:t>
            </w:r>
          </w:p>
        </w:tc>
        <w:tc>
          <w:tcPr>
            <w:tcW w:w="810" w:type="dxa"/>
            <w:tcBorders>
              <w:top w:val="nil"/>
              <w:left w:val="nil"/>
              <w:bottom w:val="nil"/>
              <w:right w:val="nil"/>
            </w:tcBorders>
            <w:shd w:val="clear" w:color="auto" w:fill="auto"/>
            <w:noWrap/>
            <w:hideMark/>
          </w:tcPr>
          <w:p w14:paraId="042D3B76"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564ED311" w14:textId="77777777" w:rsidR="00C522E7" w:rsidRPr="001E52FE" w:rsidRDefault="00C522E7" w:rsidP="00D00F29">
            <w:pPr>
              <w:jc w:val="right"/>
              <w:rPr>
                <w:rFonts w:eastAsia="Times New Roman" w:cs="Times New Roman"/>
                <w:sz w:val="20"/>
                <w:szCs w:val="20"/>
              </w:rPr>
            </w:pPr>
          </w:p>
        </w:tc>
        <w:tc>
          <w:tcPr>
            <w:tcW w:w="720" w:type="dxa"/>
            <w:tcBorders>
              <w:top w:val="nil"/>
              <w:left w:val="nil"/>
              <w:bottom w:val="nil"/>
              <w:right w:val="nil"/>
            </w:tcBorders>
            <w:shd w:val="clear" w:color="auto" w:fill="auto"/>
            <w:noWrap/>
            <w:hideMark/>
          </w:tcPr>
          <w:p w14:paraId="29040BAB" w14:textId="77777777" w:rsidR="00C522E7" w:rsidRPr="001E52FE" w:rsidRDefault="00C522E7" w:rsidP="00D00F29">
            <w:pPr>
              <w:jc w:val="right"/>
              <w:rPr>
                <w:rFonts w:eastAsia="Times New Roman" w:cs="Times New Roman"/>
                <w:sz w:val="20"/>
                <w:szCs w:val="20"/>
              </w:rPr>
            </w:pPr>
          </w:p>
        </w:tc>
        <w:tc>
          <w:tcPr>
            <w:tcW w:w="900" w:type="dxa"/>
            <w:tcBorders>
              <w:top w:val="nil"/>
              <w:left w:val="nil"/>
              <w:bottom w:val="nil"/>
              <w:right w:val="nil"/>
            </w:tcBorders>
            <w:shd w:val="clear" w:color="auto" w:fill="auto"/>
            <w:noWrap/>
            <w:hideMark/>
          </w:tcPr>
          <w:p w14:paraId="1B406675"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10A746FC"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7C5AF906"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49106652"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vAlign w:val="bottom"/>
            <w:hideMark/>
          </w:tcPr>
          <w:p w14:paraId="15323D78" w14:textId="77777777" w:rsidR="00C522E7" w:rsidRPr="001E52FE" w:rsidRDefault="00C522E7" w:rsidP="00D00F29">
            <w:pPr>
              <w:jc w:val="right"/>
              <w:rPr>
                <w:rFonts w:eastAsia="Times New Roman" w:cs="Times New Roman"/>
                <w:sz w:val="20"/>
                <w:szCs w:val="20"/>
              </w:rPr>
            </w:pPr>
          </w:p>
        </w:tc>
      </w:tr>
      <w:tr w:rsidR="00C522E7" w:rsidRPr="001E52FE" w14:paraId="7C1DFCC3" w14:textId="77777777" w:rsidTr="00D00F29">
        <w:trPr>
          <w:trHeight w:val="290"/>
        </w:trPr>
        <w:tc>
          <w:tcPr>
            <w:tcW w:w="1890" w:type="dxa"/>
            <w:tcBorders>
              <w:top w:val="nil"/>
              <w:left w:val="nil"/>
              <w:bottom w:val="nil"/>
              <w:right w:val="nil"/>
            </w:tcBorders>
            <w:shd w:val="clear" w:color="auto" w:fill="auto"/>
            <w:hideMark/>
          </w:tcPr>
          <w:p w14:paraId="4475BC02" w14:textId="77777777" w:rsidR="00C522E7" w:rsidRPr="001E52FE" w:rsidRDefault="00C522E7" w:rsidP="00D00F29">
            <w:pPr>
              <w:rPr>
                <w:rFonts w:eastAsia="Times New Roman" w:cs="Times New Roman"/>
                <w:sz w:val="22"/>
              </w:rPr>
            </w:pPr>
            <w:r w:rsidRPr="001E52FE">
              <w:rPr>
                <w:rFonts w:eastAsia="Times New Roman" w:cs="Times New Roman"/>
                <w:sz w:val="22"/>
              </w:rPr>
              <w:t xml:space="preserve">9. </w:t>
            </w:r>
            <w:proofErr w:type="spellStart"/>
            <w:r w:rsidRPr="001E52FE">
              <w:rPr>
                <w:rFonts w:eastAsia="Times New Roman" w:cs="Times New Roman"/>
                <w:sz w:val="22"/>
              </w:rPr>
              <w:t>RSex</w:t>
            </w:r>
            <w:proofErr w:type="spellEnd"/>
          </w:p>
        </w:tc>
        <w:tc>
          <w:tcPr>
            <w:tcW w:w="1333" w:type="dxa"/>
            <w:tcBorders>
              <w:top w:val="nil"/>
              <w:left w:val="nil"/>
              <w:bottom w:val="nil"/>
              <w:right w:val="nil"/>
            </w:tcBorders>
            <w:shd w:val="clear" w:color="auto" w:fill="auto"/>
            <w:noWrap/>
            <w:vAlign w:val="bottom"/>
            <w:hideMark/>
          </w:tcPr>
          <w:p w14:paraId="73BA7BC7"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w:t>
            </w:r>
          </w:p>
        </w:tc>
        <w:tc>
          <w:tcPr>
            <w:tcW w:w="827" w:type="dxa"/>
            <w:tcBorders>
              <w:top w:val="nil"/>
              <w:left w:val="nil"/>
              <w:bottom w:val="nil"/>
              <w:right w:val="nil"/>
            </w:tcBorders>
            <w:shd w:val="clear" w:color="auto" w:fill="auto"/>
            <w:noWrap/>
            <w:hideMark/>
          </w:tcPr>
          <w:p w14:paraId="542B8671"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.41***</w:t>
            </w:r>
          </w:p>
        </w:tc>
        <w:tc>
          <w:tcPr>
            <w:tcW w:w="810" w:type="dxa"/>
            <w:tcBorders>
              <w:top w:val="nil"/>
              <w:left w:val="nil"/>
              <w:bottom w:val="nil"/>
              <w:right w:val="nil"/>
            </w:tcBorders>
            <w:shd w:val="clear" w:color="auto" w:fill="auto"/>
            <w:noWrap/>
            <w:hideMark/>
          </w:tcPr>
          <w:p w14:paraId="24D16E5A"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.04</w:t>
            </w:r>
          </w:p>
        </w:tc>
        <w:tc>
          <w:tcPr>
            <w:tcW w:w="810" w:type="dxa"/>
            <w:tcBorders>
              <w:top w:val="nil"/>
              <w:left w:val="nil"/>
              <w:bottom w:val="nil"/>
              <w:right w:val="nil"/>
            </w:tcBorders>
            <w:shd w:val="clear" w:color="auto" w:fill="auto"/>
            <w:noWrap/>
            <w:hideMark/>
          </w:tcPr>
          <w:p w14:paraId="1183293F"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.16</w:t>
            </w:r>
            <w:r w:rsidR="00A979FC" w:rsidRPr="001E52FE">
              <w:rPr>
                <w:rFonts w:eastAsia="Times New Roman" w:cs="Times New Roman"/>
                <w:sz w:val="20"/>
                <w:szCs w:val="20"/>
              </w:rPr>
              <w:t>†</w:t>
            </w:r>
          </w:p>
        </w:tc>
        <w:tc>
          <w:tcPr>
            <w:tcW w:w="810" w:type="dxa"/>
            <w:tcBorders>
              <w:top w:val="nil"/>
              <w:left w:val="nil"/>
              <w:bottom w:val="nil"/>
              <w:right w:val="nil"/>
            </w:tcBorders>
            <w:shd w:val="clear" w:color="auto" w:fill="auto"/>
            <w:noWrap/>
            <w:hideMark/>
          </w:tcPr>
          <w:p w14:paraId="6FD2125A"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-.08</w:t>
            </w:r>
          </w:p>
        </w:tc>
        <w:tc>
          <w:tcPr>
            <w:tcW w:w="810" w:type="dxa"/>
            <w:tcBorders>
              <w:top w:val="nil"/>
              <w:left w:val="nil"/>
              <w:bottom w:val="nil"/>
              <w:right w:val="nil"/>
            </w:tcBorders>
            <w:shd w:val="clear" w:color="auto" w:fill="auto"/>
            <w:noWrap/>
            <w:hideMark/>
          </w:tcPr>
          <w:p w14:paraId="6916F6F0"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.13</w:t>
            </w:r>
          </w:p>
        </w:tc>
        <w:tc>
          <w:tcPr>
            <w:tcW w:w="810" w:type="dxa"/>
            <w:tcBorders>
              <w:top w:val="nil"/>
              <w:left w:val="nil"/>
              <w:bottom w:val="nil"/>
              <w:right w:val="nil"/>
            </w:tcBorders>
            <w:shd w:val="clear" w:color="auto" w:fill="auto"/>
            <w:noWrap/>
            <w:hideMark/>
          </w:tcPr>
          <w:p w14:paraId="310C32ED"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.30***</w:t>
            </w:r>
          </w:p>
        </w:tc>
        <w:tc>
          <w:tcPr>
            <w:tcW w:w="810" w:type="dxa"/>
            <w:tcBorders>
              <w:top w:val="nil"/>
              <w:left w:val="nil"/>
              <w:bottom w:val="nil"/>
              <w:right w:val="nil"/>
            </w:tcBorders>
            <w:shd w:val="clear" w:color="auto" w:fill="auto"/>
            <w:noWrap/>
            <w:hideMark/>
          </w:tcPr>
          <w:p w14:paraId="3C0A6A7E"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.09</w:t>
            </w:r>
          </w:p>
        </w:tc>
        <w:tc>
          <w:tcPr>
            <w:tcW w:w="810" w:type="dxa"/>
            <w:tcBorders>
              <w:top w:val="nil"/>
              <w:left w:val="nil"/>
              <w:bottom w:val="nil"/>
              <w:right w:val="nil"/>
            </w:tcBorders>
            <w:shd w:val="clear" w:color="auto" w:fill="auto"/>
            <w:noWrap/>
            <w:hideMark/>
          </w:tcPr>
          <w:p w14:paraId="76A426AE"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.27***</w:t>
            </w:r>
          </w:p>
        </w:tc>
        <w:tc>
          <w:tcPr>
            <w:tcW w:w="810" w:type="dxa"/>
            <w:tcBorders>
              <w:top w:val="nil"/>
              <w:left w:val="nil"/>
              <w:bottom w:val="nil"/>
              <w:right w:val="nil"/>
            </w:tcBorders>
            <w:shd w:val="clear" w:color="auto" w:fill="auto"/>
            <w:noWrap/>
            <w:hideMark/>
          </w:tcPr>
          <w:p w14:paraId="126CE949" w14:textId="77777777" w:rsidR="00C522E7" w:rsidRPr="001E52FE" w:rsidRDefault="00C522E7" w:rsidP="00D00F29">
            <w:pPr>
              <w:jc w:val="right"/>
              <w:rPr>
                <w:rFonts w:eastAsia="Times New Roman" w:cs="Times New Roman"/>
                <w:sz w:val="20"/>
                <w:szCs w:val="20"/>
              </w:rPr>
            </w:pPr>
          </w:p>
        </w:tc>
        <w:tc>
          <w:tcPr>
            <w:tcW w:w="720" w:type="dxa"/>
            <w:tcBorders>
              <w:top w:val="nil"/>
              <w:left w:val="nil"/>
              <w:bottom w:val="nil"/>
              <w:right w:val="nil"/>
            </w:tcBorders>
            <w:shd w:val="clear" w:color="auto" w:fill="auto"/>
            <w:noWrap/>
            <w:hideMark/>
          </w:tcPr>
          <w:p w14:paraId="773E4399" w14:textId="77777777" w:rsidR="00C522E7" w:rsidRPr="001E52FE" w:rsidRDefault="00C522E7" w:rsidP="00D00F29">
            <w:pPr>
              <w:jc w:val="right"/>
              <w:rPr>
                <w:rFonts w:eastAsia="Times New Roman" w:cs="Times New Roman"/>
                <w:sz w:val="20"/>
                <w:szCs w:val="20"/>
              </w:rPr>
            </w:pPr>
          </w:p>
        </w:tc>
        <w:tc>
          <w:tcPr>
            <w:tcW w:w="900" w:type="dxa"/>
            <w:tcBorders>
              <w:top w:val="nil"/>
              <w:left w:val="nil"/>
              <w:bottom w:val="nil"/>
              <w:right w:val="nil"/>
            </w:tcBorders>
            <w:shd w:val="clear" w:color="auto" w:fill="auto"/>
            <w:noWrap/>
            <w:hideMark/>
          </w:tcPr>
          <w:p w14:paraId="2AB4399F"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5F13581C"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042811BA"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103CC119"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vAlign w:val="bottom"/>
            <w:hideMark/>
          </w:tcPr>
          <w:p w14:paraId="05C89C39" w14:textId="77777777" w:rsidR="00C522E7" w:rsidRPr="001E52FE" w:rsidRDefault="00C522E7" w:rsidP="00D00F29">
            <w:pPr>
              <w:jc w:val="right"/>
              <w:rPr>
                <w:rFonts w:eastAsia="Times New Roman" w:cs="Times New Roman"/>
                <w:sz w:val="20"/>
                <w:szCs w:val="20"/>
              </w:rPr>
            </w:pPr>
          </w:p>
        </w:tc>
      </w:tr>
      <w:tr w:rsidR="00C522E7" w:rsidRPr="001E52FE" w14:paraId="33408478" w14:textId="77777777" w:rsidTr="00D00F29">
        <w:trPr>
          <w:trHeight w:val="290"/>
        </w:trPr>
        <w:tc>
          <w:tcPr>
            <w:tcW w:w="1890" w:type="dxa"/>
            <w:tcBorders>
              <w:top w:val="nil"/>
              <w:left w:val="nil"/>
              <w:bottom w:val="nil"/>
              <w:right w:val="nil"/>
            </w:tcBorders>
            <w:shd w:val="clear" w:color="auto" w:fill="auto"/>
            <w:hideMark/>
          </w:tcPr>
          <w:p w14:paraId="2576BEAD" w14:textId="77777777" w:rsidR="00C522E7" w:rsidRPr="001E52FE" w:rsidRDefault="00C522E7" w:rsidP="00D00F29">
            <w:pPr>
              <w:rPr>
                <w:rFonts w:eastAsia="Times New Roman" w:cs="Times New Roman"/>
                <w:sz w:val="22"/>
              </w:rPr>
            </w:pPr>
            <w:r w:rsidRPr="001E52FE">
              <w:rPr>
                <w:rFonts w:eastAsia="Times New Roman" w:cs="Times New Roman"/>
                <w:sz w:val="22"/>
              </w:rPr>
              <w:t xml:space="preserve">10. </w:t>
            </w:r>
            <w:proofErr w:type="spellStart"/>
            <w:r w:rsidRPr="001E52FE">
              <w:rPr>
                <w:rFonts w:eastAsia="Times New Roman" w:cs="Times New Roman"/>
                <w:sz w:val="22"/>
              </w:rPr>
              <w:t>RAge</w:t>
            </w:r>
            <w:proofErr w:type="spellEnd"/>
          </w:p>
        </w:tc>
        <w:tc>
          <w:tcPr>
            <w:tcW w:w="1333" w:type="dxa"/>
            <w:tcBorders>
              <w:top w:val="nil"/>
              <w:left w:val="nil"/>
              <w:bottom w:val="nil"/>
              <w:right w:val="nil"/>
            </w:tcBorders>
            <w:shd w:val="clear" w:color="auto" w:fill="auto"/>
            <w:noWrap/>
            <w:vAlign w:val="bottom"/>
            <w:hideMark/>
          </w:tcPr>
          <w:p w14:paraId="577DB3CF"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19.73 (1.60)</w:t>
            </w:r>
          </w:p>
        </w:tc>
        <w:tc>
          <w:tcPr>
            <w:tcW w:w="827" w:type="dxa"/>
            <w:tcBorders>
              <w:top w:val="nil"/>
              <w:left w:val="nil"/>
              <w:bottom w:val="nil"/>
              <w:right w:val="nil"/>
            </w:tcBorders>
            <w:shd w:val="clear" w:color="auto" w:fill="auto"/>
            <w:noWrap/>
            <w:hideMark/>
          </w:tcPr>
          <w:p w14:paraId="0C67F88D"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.06</w:t>
            </w:r>
          </w:p>
        </w:tc>
        <w:tc>
          <w:tcPr>
            <w:tcW w:w="810" w:type="dxa"/>
            <w:tcBorders>
              <w:top w:val="nil"/>
              <w:left w:val="nil"/>
              <w:bottom w:val="nil"/>
              <w:right w:val="nil"/>
            </w:tcBorders>
            <w:shd w:val="clear" w:color="auto" w:fill="auto"/>
            <w:noWrap/>
            <w:hideMark/>
          </w:tcPr>
          <w:p w14:paraId="0BB6DF5D"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.60***</w:t>
            </w:r>
          </w:p>
        </w:tc>
        <w:tc>
          <w:tcPr>
            <w:tcW w:w="810" w:type="dxa"/>
            <w:tcBorders>
              <w:top w:val="nil"/>
              <w:left w:val="nil"/>
              <w:bottom w:val="nil"/>
              <w:right w:val="nil"/>
            </w:tcBorders>
            <w:shd w:val="clear" w:color="auto" w:fill="auto"/>
            <w:noWrap/>
            <w:hideMark/>
          </w:tcPr>
          <w:p w14:paraId="01A3B7B9"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.15</w:t>
            </w:r>
            <w:r w:rsidR="00A979FC" w:rsidRPr="001E52FE">
              <w:rPr>
                <w:rFonts w:eastAsia="Times New Roman" w:cs="Times New Roman"/>
                <w:sz w:val="20"/>
                <w:szCs w:val="20"/>
              </w:rPr>
              <w:t>†</w:t>
            </w:r>
          </w:p>
        </w:tc>
        <w:tc>
          <w:tcPr>
            <w:tcW w:w="810" w:type="dxa"/>
            <w:tcBorders>
              <w:top w:val="nil"/>
              <w:left w:val="nil"/>
              <w:bottom w:val="nil"/>
              <w:right w:val="nil"/>
            </w:tcBorders>
            <w:shd w:val="clear" w:color="auto" w:fill="auto"/>
            <w:noWrap/>
            <w:hideMark/>
          </w:tcPr>
          <w:p w14:paraId="00CBEBE2"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.07</w:t>
            </w:r>
          </w:p>
        </w:tc>
        <w:tc>
          <w:tcPr>
            <w:tcW w:w="810" w:type="dxa"/>
            <w:tcBorders>
              <w:top w:val="nil"/>
              <w:left w:val="nil"/>
              <w:bottom w:val="nil"/>
              <w:right w:val="nil"/>
            </w:tcBorders>
            <w:shd w:val="clear" w:color="auto" w:fill="auto"/>
            <w:noWrap/>
            <w:hideMark/>
          </w:tcPr>
          <w:p w14:paraId="2A24EF02"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.12</w:t>
            </w:r>
          </w:p>
        </w:tc>
        <w:tc>
          <w:tcPr>
            <w:tcW w:w="810" w:type="dxa"/>
            <w:tcBorders>
              <w:top w:val="nil"/>
              <w:left w:val="nil"/>
              <w:bottom w:val="nil"/>
              <w:right w:val="nil"/>
            </w:tcBorders>
            <w:shd w:val="clear" w:color="auto" w:fill="auto"/>
            <w:noWrap/>
            <w:hideMark/>
          </w:tcPr>
          <w:p w14:paraId="65F1DDA7"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-.02</w:t>
            </w:r>
          </w:p>
        </w:tc>
        <w:tc>
          <w:tcPr>
            <w:tcW w:w="810" w:type="dxa"/>
            <w:tcBorders>
              <w:top w:val="nil"/>
              <w:left w:val="nil"/>
              <w:bottom w:val="nil"/>
              <w:right w:val="nil"/>
            </w:tcBorders>
            <w:shd w:val="clear" w:color="auto" w:fill="auto"/>
            <w:noWrap/>
            <w:hideMark/>
          </w:tcPr>
          <w:p w14:paraId="0AD12A86"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-.05</w:t>
            </w:r>
          </w:p>
        </w:tc>
        <w:tc>
          <w:tcPr>
            <w:tcW w:w="810" w:type="dxa"/>
            <w:tcBorders>
              <w:top w:val="nil"/>
              <w:left w:val="nil"/>
              <w:bottom w:val="nil"/>
              <w:right w:val="nil"/>
            </w:tcBorders>
            <w:shd w:val="clear" w:color="auto" w:fill="auto"/>
            <w:noWrap/>
            <w:hideMark/>
          </w:tcPr>
          <w:p w14:paraId="15590031"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-.22**</w:t>
            </w:r>
          </w:p>
        </w:tc>
        <w:tc>
          <w:tcPr>
            <w:tcW w:w="810" w:type="dxa"/>
            <w:tcBorders>
              <w:top w:val="nil"/>
              <w:left w:val="nil"/>
              <w:bottom w:val="nil"/>
              <w:right w:val="nil"/>
            </w:tcBorders>
            <w:shd w:val="clear" w:color="auto" w:fill="auto"/>
            <w:noWrap/>
            <w:hideMark/>
          </w:tcPr>
          <w:p w14:paraId="12692368"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-.08</w:t>
            </w:r>
          </w:p>
        </w:tc>
        <w:tc>
          <w:tcPr>
            <w:tcW w:w="720" w:type="dxa"/>
            <w:tcBorders>
              <w:top w:val="nil"/>
              <w:left w:val="nil"/>
              <w:bottom w:val="nil"/>
              <w:right w:val="nil"/>
            </w:tcBorders>
            <w:shd w:val="clear" w:color="auto" w:fill="auto"/>
            <w:noWrap/>
            <w:hideMark/>
          </w:tcPr>
          <w:p w14:paraId="66800AD2" w14:textId="77777777" w:rsidR="00C522E7" w:rsidRPr="001E52FE" w:rsidRDefault="00C522E7" w:rsidP="00D00F29">
            <w:pPr>
              <w:jc w:val="right"/>
              <w:rPr>
                <w:rFonts w:eastAsia="Times New Roman" w:cs="Times New Roman"/>
                <w:sz w:val="20"/>
                <w:szCs w:val="20"/>
              </w:rPr>
            </w:pPr>
          </w:p>
        </w:tc>
        <w:tc>
          <w:tcPr>
            <w:tcW w:w="900" w:type="dxa"/>
            <w:tcBorders>
              <w:top w:val="nil"/>
              <w:left w:val="nil"/>
              <w:bottom w:val="nil"/>
              <w:right w:val="nil"/>
            </w:tcBorders>
            <w:shd w:val="clear" w:color="auto" w:fill="auto"/>
            <w:noWrap/>
            <w:hideMark/>
          </w:tcPr>
          <w:p w14:paraId="592C036A"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088BCD48"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764EF97A"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4EC5B19C"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vAlign w:val="bottom"/>
            <w:hideMark/>
          </w:tcPr>
          <w:p w14:paraId="113B83EB" w14:textId="77777777" w:rsidR="00C522E7" w:rsidRPr="001E52FE" w:rsidRDefault="00C522E7" w:rsidP="00D00F29">
            <w:pPr>
              <w:jc w:val="right"/>
              <w:rPr>
                <w:rFonts w:eastAsia="Times New Roman" w:cs="Times New Roman"/>
                <w:sz w:val="20"/>
                <w:szCs w:val="20"/>
              </w:rPr>
            </w:pPr>
          </w:p>
        </w:tc>
      </w:tr>
      <w:tr w:rsidR="00C522E7" w:rsidRPr="001E52FE" w14:paraId="69B1F5D8" w14:textId="77777777" w:rsidTr="00D00F29">
        <w:trPr>
          <w:trHeight w:val="290"/>
        </w:trPr>
        <w:tc>
          <w:tcPr>
            <w:tcW w:w="1890" w:type="dxa"/>
            <w:tcBorders>
              <w:top w:val="nil"/>
              <w:left w:val="nil"/>
              <w:bottom w:val="nil"/>
              <w:right w:val="nil"/>
            </w:tcBorders>
            <w:shd w:val="clear" w:color="auto" w:fill="auto"/>
            <w:hideMark/>
          </w:tcPr>
          <w:p w14:paraId="4D26CEFA" w14:textId="77777777" w:rsidR="00C522E7" w:rsidRPr="001E52FE" w:rsidRDefault="00C522E7" w:rsidP="00D00F29">
            <w:pPr>
              <w:rPr>
                <w:rFonts w:eastAsia="Times New Roman" w:cs="Times New Roman"/>
                <w:sz w:val="22"/>
              </w:rPr>
            </w:pPr>
            <w:r w:rsidRPr="001E52FE">
              <w:rPr>
                <w:rFonts w:eastAsia="Times New Roman" w:cs="Times New Roman"/>
                <w:sz w:val="22"/>
              </w:rPr>
              <w:t xml:space="preserve">11. </w:t>
            </w:r>
            <w:proofErr w:type="spellStart"/>
            <w:r w:rsidRPr="001E52FE">
              <w:rPr>
                <w:rFonts w:eastAsia="Times New Roman" w:cs="Times New Roman"/>
                <w:sz w:val="22"/>
              </w:rPr>
              <w:t>RPartnerChar</w:t>
            </w:r>
            <w:proofErr w:type="spellEnd"/>
          </w:p>
        </w:tc>
        <w:tc>
          <w:tcPr>
            <w:tcW w:w="1333" w:type="dxa"/>
            <w:tcBorders>
              <w:top w:val="nil"/>
              <w:left w:val="nil"/>
              <w:bottom w:val="nil"/>
              <w:right w:val="nil"/>
            </w:tcBorders>
            <w:shd w:val="clear" w:color="auto" w:fill="auto"/>
            <w:noWrap/>
            <w:vAlign w:val="bottom"/>
            <w:hideMark/>
          </w:tcPr>
          <w:p w14:paraId="64DF2F6D" w14:textId="6DF2D511" w:rsidR="00C522E7" w:rsidRPr="001E52FE" w:rsidRDefault="001A3FFE" w:rsidP="00D00F29">
            <w:pPr>
              <w:jc w:val="center"/>
              <w:rPr>
                <w:rFonts w:eastAsia="Times New Roman" w:cs="Times New Roman"/>
                <w:sz w:val="22"/>
              </w:rPr>
            </w:pPr>
            <w:r w:rsidRPr="001E52FE">
              <w:rPr>
                <w:rFonts w:eastAsia="Times New Roman" w:cs="Times New Roman"/>
                <w:sz w:val="22"/>
              </w:rPr>
              <w:t>0</w:t>
            </w:r>
            <w:r w:rsidR="00C522E7" w:rsidRPr="001E52FE">
              <w:rPr>
                <w:rFonts w:eastAsia="Times New Roman" w:cs="Times New Roman"/>
                <w:sz w:val="22"/>
              </w:rPr>
              <w:t>.00 (.62)</w:t>
            </w:r>
          </w:p>
        </w:tc>
        <w:tc>
          <w:tcPr>
            <w:tcW w:w="827" w:type="dxa"/>
            <w:tcBorders>
              <w:top w:val="nil"/>
              <w:left w:val="nil"/>
              <w:bottom w:val="nil"/>
              <w:right w:val="nil"/>
            </w:tcBorders>
            <w:shd w:val="clear" w:color="auto" w:fill="auto"/>
            <w:noWrap/>
            <w:hideMark/>
          </w:tcPr>
          <w:p w14:paraId="612B43EF"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.18*</w:t>
            </w:r>
          </w:p>
        </w:tc>
        <w:tc>
          <w:tcPr>
            <w:tcW w:w="810" w:type="dxa"/>
            <w:tcBorders>
              <w:top w:val="nil"/>
              <w:left w:val="nil"/>
              <w:bottom w:val="nil"/>
              <w:right w:val="nil"/>
            </w:tcBorders>
            <w:shd w:val="clear" w:color="auto" w:fill="auto"/>
            <w:noWrap/>
            <w:hideMark/>
          </w:tcPr>
          <w:p w14:paraId="53DA11C6"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-.01</w:t>
            </w:r>
          </w:p>
        </w:tc>
        <w:tc>
          <w:tcPr>
            <w:tcW w:w="810" w:type="dxa"/>
            <w:tcBorders>
              <w:top w:val="nil"/>
              <w:left w:val="nil"/>
              <w:bottom w:val="nil"/>
              <w:right w:val="nil"/>
            </w:tcBorders>
            <w:shd w:val="clear" w:color="auto" w:fill="auto"/>
            <w:noWrap/>
            <w:hideMark/>
          </w:tcPr>
          <w:p w14:paraId="6FE8AC9F"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.52***</w:t>
            </w:r>
          </w:p>
        </w:tc>
        <w:tc>
          <w:tcPr>
            <w:tcW w:w="810" w:type="dxa"/>
            <w:tcBorders>
              <w:top w:val="nil"/>
              <w:left w:val="nil"/>
              <w:bottom w:val="nil"/>
              <w:right w:val="nil"/>
            </w:tcBorders>
            <w:shd w:val="clear" w:color="auto" w:fill="auto"/>
            <w:noWrap/>
            <w:hideMark/>
          </w:tcPr>
          <w:p w14:paraId="4C334BD8"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.30***</w:t>
            </w:r>
          </w:p>
        </w:tc>
        <w:tc>
          <w:tcPr>
            <w:tcW w:w="810" w:type="dxa"/>
            <w:tcBorders>
              <w:top w:val="nil"/>
              <w:left w:val="nil"/>
              <w:bottom w:val="nil"/>
              <w:right w:val="nil"/>
            </w:tcBorders>
            <w:shd w:val="clear" w:color="auto" w:fill="auto"/>
            <w:noWrap/>
            <w:hideMark/>
          </w:tcPr>
          <w:p w14:paraId="66F16F83"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.47***</w:t>
            </w:r>
          </w:p>
        </w:tc>
        <w:tc>
          <w:tcPr>
            <w:tcW w:w="810" w:type="dxa"/>
            <w:tcBorders>
              <w:top w:val="nil"/>
              <w:left w:val="nil"/>
              <w:bottom w:val="nil"/>
              <w:right w:val="nil"/>
            </w:tcBorders>
            <w:shd w:val="clear" w:color="auto" w:fill="auto"/>
            <w:noWrap/>
            <w:hideMark/>
          </w:tcPr>
          <w:p w14:paraId="574FF0D2"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.48***</w:t>
            </w:r>
          </w:p>
        </w:tc>
        <w:tc>
          <w:tcPr>
            <w:tcW w:w="810" w:type="dxa"/>
            <w:tcBorders>
              <w:top w:val="nil"/>
              <w:left w:val="nil"/>
              <w:bottom w:val="nil"/>
              <w:right w:val="nil"/>
            </w:tcBorders>
            <w:shd w:val="clear" w:color="auto" w:fill="auto"/>
            <w:noWrap/>
            <w:hideMark/>
          </w:tcPr>
          <w:p w14:paraId="30D68846"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.07</w:t>
            </w:r>
          </w:p>
        </w:tc>
        <w:tc>
          <w:tcPr>
            <w:tcW w:w="810" w:type="dxa"/>
            <w:tcBorders>
              <w:top w:val="nil"/>
              <w:left w:val="nil"/>
              <w:bottom w:val="nil"/>
              <w:right w:val="nil"/>
            </w:tcBorders>
            <w:shd w:val="clear" w:color="auto" w:fill="auto"/>
            <w:noWrap/>
            <w:hideMark/>
          </w:tcPr>
          <w:p w14:paraId="3136B30E"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.13</w:t>
            </w:r>
          </w:p>
        </w:tc>
        <w:tc>
          <w:tcPr>
            <w:tcW w:w="810" w:type="dxa"/>
            <w:tcBorders>
              <w:top w:val="nil"/>
              <w:left w:val="nil"/>
              <w:bottom w:val="nil"/>
              <w:right w:val="nil"/>
            </w:tcBorders>
            <w:shd w:val="clear" w:color="auto" w:fill="auto"/>
            <w:noWrap/>
            <w:hideMark/>
          </w:tcPr>
          <w:p w14:paraId="1A8000D2"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.14</w:t>
            </w:r>
            <w:r w:rsidR="00A979FC" w:rsidRPr="001E52FE">
              <w:rPr>
                <w:rFonts w:eastAsia="Times New Roman" w:cs="Times New Roman"/>
                <w:sz w:val="20"/>
                <w:szCs w:val="20"/>
              </w:rPr>
              <w:t>†</w:t>
            </w:r>
          </w:p>
        </w:tc>
        <w:tc>
          <w:tcPr>
            <w:tcW w:w="720" w:type="dxa"/>
            <w:tcBorders>
              <w:top w:val="nil"/>
              <w:left w:val="nil"/>
              <w:bottom w:val="nil"/>
              <w:right w:val="nil"/>
            </w:tcBorders>
            <w:shd w:val="clear" w:color="auto" w:fill="auto"/>
            <w:noWrap/>
            <w:hideMark/>
          </w:tcPr>
          <w:p w14:paraId="3BAC3EDF"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.03</w:t>
            </w:r>
          </w:p>
        </w:tc>
        <w:tc>
          <w:tcPr>
            <w:tcW w:w="900" w:type="dxa"/>
            <w:tcBorders>
              <w:top w:val="nil"/>
              <w:left w:val="nil"/>
              <w:bottom w:val="nil"/>
              <w:right w:val="nil"/>
            </w:tcBorders>
            <w:shd w:val="clear" w:color="auto" w:fill="auto"/>
            <w:noWrap/>
            <w:hideMark/>
          </w:tcPr>
          <w:p w14:paraId="59F4CEE5"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1FB217E3"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0E4B1A23"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72366CCE"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vAlign w:val="bottom"/>
            <w:hideMark/>
          </w:tcPr>
          <w:p w14:paraId="2CF90E9A" w14:textId="77777777" w:rsidR="00C522E7" w:rsidRPr="001E52FE" w:rsidRDefault="00C522E7" w:rsidP="00D00F29">
            <w:pPr>
              <w:jc w:val="right"/>
              <w:rPr>
                <w:rFonts w:eastAsia="Times New Roman" w:cs="Times New Roman"/>
                <w:sz w:val="20"/>
                <w:szCs w:val="20"/>
              </w:rPr>
            </w:pPr>
          </w:p>
        </w:tc>
      </w:tr>
      <w:tr w:rsidR="00C522E7" w:rsidRPr="001E52FE" w14:paraId="5C84125A" w14:textId="77777777" w:rsidTr="00D00F29">
        <w:trPr>
          <w:trHeight w:val="290"/>
        </w:trPr>
        <w:tc>
          <w:tcPr>
            <w:tcW w:w="1890" w:type="dxa"/>
            <w:tcBorders>
              <w:top w:val="nil"/>
              <w:left w:val="nil"/>
              <w:bottom w:val="nil"/>
              <w:right w:val="nil"/>
            </w:tcBorders>
            <w:shd w:val="clear" w:color="auto" w:fill="auto"/>
            <w:hideMark/>
          </w:tcPr>
          <w:p w14:paraId="6B315FBE" w14:textId="77777777" w:rsidR="00C522E7" w:rsidRPr="001E52FE" w:rsidRDefault="00C522E7" w:rsidP="00D00F29">
            <w:pPr>
              <w:rPr>
                <w:rFonts w:eastAsia="Times New Roman" w:cs="Times New Roman"/>
                <w:sz w:val="22"/>
              </w:rPr>
            </w:pPr>
            <w:r w:rsidRPr="001E52FE">
              <w:rPr>
                <w:rFonts w:eastAsia="Times New Roman" w:cs="Times New Roman"/>
                <w:sz w:val="22"/>
              </w:rPr>
              <w:t xml:space="preserve">12. </w:t>
            </w:r>
            <w:proofErr w:type="spellStart"/>
            <w:r w:rsidRPr="001E52FE">
              <w:rPr>
                <w:rFonts w:eastAsia="Times New Roman" w:cs="Times New Roman"/>
                <w:sz w:val="22"/>
              </w:rPr>
              <w:t>R</w:t>
            </w:r>
            <w:r w:rsidRPr="001E52FE">
              <w:t>Intdpd</w:t>
            </w:r>
            <w:proofErr w:type="spellEnd"/>
          </w:p>
        </w:tc>
        <w:tc>
          <w:tcPr>
            <w:tcW w:w="1333" w:type="dxa"/>
            <w:tcBorders>
              <w:top w:val="nil"/>
              <w:left w:val="nil"/>
              <w:bottom w:val="nil"/>
              <w:right w:val="nil"/>
            </w:tcBorders>
            <w:shd w:val="clear" w:color="auto" w:fill="auto"/>
            <w:noWrap/>
            <w:vAlign w:val="bottom"/>
            <w:hideMark/>
          </w:tcPr>
          <w:p w14:paraId="6032FB06"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3.29 (.91)</w:t>
            </w:r>
          </w:p>
        </w:tc>
        <w:tc>
          <w:tcPr>
            <w:tcW w:w="827" w:type="dxa"/>
            <w:tcBorders>
              <w:top w:val="nil"/>
              <w:left w:val="nil"/>
              <w:bottom w:val="nil"/>
              <w:right w:val="nil"/>
            </w:tcBorders>
            <w:shd w:val="clear" w:color="auto" w:fill="auto"/>
            <w:noWrap/>
            <w:hideMark/>
          </w:tcPr>
          <w:p w14:paraId="1ED510E3"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-.01</w:t>
            </w:r>
          </w:p>
        </w:tc>
        <w:tc>
          <w:tcPr>
            <w:tcW w:w="810" w:type="dxa"/>
            <w:tcBorders>
              <w:top w:val="nil"/>
              <w:left w:val="nil"/>
              <w:bottom w:val="nil"/>
              <w:right w:val="nil"/>
            </w:tcBorders>
            <w:shd w:val="clear" w:color="auto" w:fill="auto"/>
            <w:noWrap/>
            <w:hideMark/>
          </w:tcPr>
          <w:p w14:paraId="6EF5AA08"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-.08</w:t>
            </w:r>
          </w:p>
        </w:tc>
        <w:tc>
          <w:tcPr>
            <w:tcW w:w="810" w:type="dxa"/>
            <w:tcBorders>
              <w:top w:val="nil"/>
              <w:left w:val="nil"/>
              <w:bottom w:val="nil"/>
              <w:right w:val="nil"/>
            </w:tcBorders>
            <w:shd w:val="clear" w:color="auto" w:fill="auto"/>
            <w:noWrap/>
            <w:hideMark/>
          </w:tcPr>
          <w:p w14:paraId="6188DF61"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.12</w:t>
            </w:r>
          </w:p>
        </w:tc>
        <w:tc>
          <w:tcPr>
            <w:tcW w:w="810" w:type="dxa"/>
            <w:tcBorders>
              <w:top w:val="nil"/>
              <w:left w:val="nil"/>
              <w:bottom w:val="nil"/>
              <w:right w:val="nil"/>
            </w:tcBorders>
            <w:shd w:val="clear" w:color="auto" w:fill="auto"/>
            <w:noWrap/>
            <w:hideMark/>
          </w:tcPr>
          <w:p w14:paraId="5AEE6A6C"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.53***</w:t>
            </w:r>
          </w:p>
        </w:tc>
        <w:tc>
          <w:tcPr>
            <w:tcW w:w="810" w:type="dxa"/>
            <w:tcBorders>
              <w:top w:val="nil"/>
              <w:left w:val="nil"/>
              <w:bottom w:val="nil"/>
              <w:right w:val="nil"/>
            </w:tcBorders>
            <w:shd w:val="clear" w:color="auto" w:fill="auto"/>
            <w:noWrap/>
            <w:hideMark/>
          </w:tcPr>
          <w:p w14:paraId="07759771"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.47***</w:t>
            </w:r>
          </w:p>
        </w:tc>
        <w:tc>
          <w:tcPr>
            <w:tcW w:w="810" w:type="dxa"/>
            <w:tcBorders>
              <w:top w:val="nil"/>
              <w:left w:val="nil"/>
              <w:bottom w:val="nil"/>
              <w:right w:val="nil"/>
            </w:tcBorders>
            <w:shd w:val="clear" w:color="auto" w:fill="auto"/>
            <w:noWrap/>
            <w:hideMark/>
          </w:tcPr>
          <w:p w14:paraId="453F743C"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.33***</w:t>
            </w:r>
          </w:p>
        </w:tc>
        <w:tc>
          <w:tcPr>
            <w:tcW w:w="810" w:type="dxa"/>
            <w:tcBorders>
              <w:top w:val="nil"/>
              <w:left w:val="nil"/>
              <w:bottom w:val="nil"/>
              <w:right w:val="nil"/>
            </w:tcBorders>
            <w:shd w:val="clear" w:color="auto" w:fill="auto"/>
            <w:noWrap/>
            <w:hideMark/>
          </w:tcPr>
          <w:p w14:paraId="2E5B05C1"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.13</w:t>
            </w:r>
          </w:p>
        </w:tc>
        <w:tc>
          <w:tcPr>
            <w:tcW w:w="810" w:type="dxa"/>
            <w:tcBorders>
              <w:top w:val="nil"/>
              <w:left w:val="nil"/>
              <w:bottom w:val="nil"/>
              <w:right w:val="nil"/>
            </w:tcBorders>
            <w:shd w:val="clear" w:color="auto" w:fill="auto"/>
            <w:noWrap/>
            <w:hideMark/>
          </w:tcPr>
          <w:p w14:paraId="74F87C6D"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.00</w:t>
            </w:r>
          </w:p>
        </w:tc>
        <w:tc>
          <w:tcPr>
            <w:tcW w:w="810" w:type="dxa"/>
            <w:tcBorders>
              <w:top w:val="nil"/>
              <w:left w:val="nil"/>
              <w:bottom w:val="nil"/>
              <w:right w:val="nil"/>
            </w:tcBorders>
            <w:shd w:val="clear" w:color="auto" w:fill="auto"/>
            <w:noWrap/>
            <w:hideMark/>
          </w:tcPr>
          <w:p w14:paraId="7BCA4E17"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-.10</w:t>
            </w:r>
          </w:p>
        </w:tc>
        <w:tc>
          <w:tcPr>
            <w:tcW w:w="720" w:type="dxa"/>
            <w:tcBorders>
              <w:top w:val="nil"/>
              <w:left w:val="nil"/>
              <w:bottom w:val="nil"/>
              <w:right w:val="nil"/>
            </w:tcBorders>
            <w:shd w:val="clear" w:color="auto" w:fill="auto"/>
            <w:noWrap/>
            <w:hideMark/>
          </w:tcPr>
          <w:p w14:paraId="1B22C929"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-.03</w:t>
            </w:r>
          </w:p>
        </w:tc>
        <w:tc>
          <w:tcPr>
            <w:tcW w:w="900" w:type="dxa"/>
            <w:tcBorders>
              <w:top w:val="nil"/>
              <w:left w:val="nil"/>
              <w:bottom w:val="nil"/>
              <w:right w:val="nil"/>
            </w:tcBorders>
            <w:shd w:val="clear" w:color="auto" w:fill="auto"/>
            <w:noWrap/>
            <w:hideMark/>
          </w:tcPr>
          <w:p w14:paraId="208BE6AA"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.38***</w:t>
            </w:r>
          </w:p>
        </w:tc>
        <w:tc>
          <w:tcPr>
            <w:tcW w:w="810" w:type="dxa"/>
            <w:tcBorders>
              <w:top w:val="nil"/>
              <w:left w:val="nil"/>
              <w:bottom w:val="nil"/>
              <w:right w:val="nil"/>
            </w:tcBorders>
            <w:shd w:val="clear" w:color="auto" w:fill="auto"/>
            <w:noWrap/>
            <w:vAlign w:val="bottom"/>
            <w:hideMark/>
          </w:tcPr>
          <w:p w14:paraId="321CC726"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1510C9E9" w14:textId="77777777" w:rsidR="00C522E7" w:rsidRPr="001E52FE" w:rsidRDefault="00C522E7" w:rsidP="00D00F29">
            <w:pPr>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401E9F99"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vAlign w:val="bottom"/>
            <w:hideMark/>
          </w:tcPr>
          <w:p w14:paraId="71DD9402" w14:textId="77777777" w:rsidR="00C522E7" w:rsidRPr="001E52FE" w:rsidRDefault="00C522E7" w:rsidP="00D00F29">
            <w:pPr>
              <w:jc w:val="right"/>
              <w:rPr>
                <w:rFonts w:eastAsia="Times New Roman" w:cs="Times New Roman"/>
                <w:sz w:val="20"/>
                <w:szCs w:val="20"/>
              </w:rPr>
            </w:pPr>
          </w:p>
        </w:tc>
      </w:tr>
      <w:tr w:rsidR="00C522E7" w:rsidRPr="001E52FE" w14:paraId="1BD1A221" w14:textId="77777777" w:rsidTr="00D00F29">
        <w:trPr>
          <w:trHeight w:val="290"/>
        </w:trPr>
        <w:tc>
          <w:tcPr>
            <w:tcW w:w="1890" w:type="dxa"/>
            <w:tcBorders>
              <w:top w:val="nil"/>
              <w:left w:val="nil"/>
              <w:bottom w:val="nil"/>
              <w:right w:val="nil"/>
            </w:tcBorders>
            <w:shd w:val="clear" w:color="auto" w:fill="auto"/>
            <w:hideMark/>
          </w:tcPr>
          <w:p w14:paraId="51C0E9D3" w14:textId="77777777" w:rsidR="00C522E7" w:rsidRPr="001E52FE" w:rsidRDefault="00C522E7" w:rsidP="00D00F29">
            <w:pPr>
              <w:rPr>
                <w:rFonts w:eastAsia="Times New Roman" w:cs="Times New Roman"/>
                <w:sz w:val="22"/>
              </w:rPr>
            </w:pPr>
            <w:r w:rsidRPr="001E52FE">
              <w:rPr>
                <w:rFonts w:eastAsia="Times New Roman" w:cs="Times New Roman"/>
                <w:sz w:val="22"/>
              </w:rPr>
              <w:t xml:space="preserve">13. </w:t>
            </w:r>
            <w:proofErr w:type="spellStart"/>
            <w:r w:rsidRPr="001E52FE">
              <w:rPr>
                <w:rFonts w:eastAsia="Times New Roman" w:cs="Times New Roman"/>
                <w:sz w:val="22"/>
              </w:rPr>
              <w:t>RCloseness</w:t>
            </w:r>
            <w:proofErr w:type="spellEnd"/>
          </w:p>
        </w:tc>
        <w:tc>
          <w:tcPr>
            <w:tcW w:w="1333" w:type="dxa"/>
            <w:tcBorders>
              <w:top w:val="nil"/>
              <w:left w:val="nil"/>
              <w:bottom w:val="nil"/>
              <w:right w:val="nil"/>
            </w:tcBorders>
            <w:shd w:val="clear" w:color="auto" w:fill="auto"/>
            <w:noWrap/>
            <w:vAlign w:val="bottom"/>
            <w:hideMark/>
          </w:tcPr>
          <w:p w14:paraId="70D72967"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2.94 (.72)</w:t>
            </w:r>
          </w:p>
        </w:tc>
        <w:tc>
          <w:tcPr>
            <w:tcW w:w="827" w:type="dxa"/>
            <w:tcBorders>
              <w:top w:val="nil"/>
              <w:left w:val="nil"/>
              <w:bottom w:val="nil"/>
              <w:right w:val="nil"/>
            </w:tcBorders>
            <w:shd w:val="clear" w:color="auto" w:fill="auto"/>
            <w:noWrap/>
            <w:hideMark/>
          </w:tcPr>
          <w:p w14:paraId="095C47E3"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.05</w:t>
            </w:r>
          </w:p>
        </w:tc>
        <w:tc>
          <w:tcPr>
            <w:tcW w:w="810" w:type="dxa"/>
            <w:tcBorders>
              <w:top w:val="nil"/>
              <w:left w:val="nil"/>
              <w:bottom w:val="nil"/>
              <w:right w:val="nil"/>
            </w:tcBorders>
            <w:shd w:val="clear" w:color="auto" w:fill="auto"/>
            <w:noWrap/>
            <w:hideMark/>
          </w:tcPr>
          <w:p w14:paraId="343E7F7F"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-.12</w:t>
            </w:r>
          </w:p>
        </w:tc>
        <w:tc>
          <w:tcPr>
            <w:tcW w:w="810" w:type="dxa"/>
            <w:tcBorders>
              <w:top w:val="nil"/>
              <w:left w:val="nil"/>
              <w:bottom w:val="nil"/>
              <w:right w:val="nil"/>
            </w:tcBorders>
            <w:shd w:val="clear" w:color="auto" w:fill="auto"/>
            <w:noWrap/>
            <w:hideMark/>
          </w:tcPr>
          <w:p w14:paraId="5CADEF2C"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.25***</w:t>
            </w:r>
          </w:p>
        </w:tc>
        <w:tc>
          <w:tcPr>
            <w:tcW w:w="810" w:type="dxa"/>
            <w:tcBorders>
              <w:top w:val="nil"/>
              <w:left w:val="nil"/>
              <w:bottom w:val="nil"/>
              <w:right w:val="nil"/>
            </w:tcBorders>
            <w:shd w:val="clear" w:color="auto" w:fill="auto"/>
            <w:noWrap/>
            <w:hideMark/>
          </w:tcPr>
          <w:p w14:paraId="17BD4221"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.54***</w:t>
            </w:r>
          </w:p>
        </w:tc>
        <w:tc>
          <w:tcPr>
            <w:tcW w:w="810" w:type="dxa"/>
            <w:tcBorders>
              <w:top w:val="nil"/>
              <w:left w:val="nil"/>
              <w:bottom w:val="nil"/>
              <w:right w:val="nil"/>
            </w:tcBorders>
            <w:shd w:val="clear" w:color="auto" w:fill="auto"/>
            <w:noWrap/>
            <w:hideMark/>
          </w:tcPr>
          <w:p w14:paraId="529EA8FB"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.59***</w:t>
            </w:r>
          </w:p>
        </w:tc>
        <w:tc>
          <w:tcPr>
            <w:tcW w:w="810" w:type="dxa"/>
            <w:tcBorders>
              <w:top w:val="nil"/>
              <w:left w:val="nil"/>
              <w:bottom w:val="nil"/>
              <w:right w:val="nil"/>
            </w:tcBorders>
            <w:shd w:val="clear" w:color="auto" w:fill="auto"/>
            <w:noWrap/>
            <w:hideMark/>
          </w:tcPr>
          <w:p w14:paraId="2BC5797B"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.50***</w:t>
            </w:r>
          </w:p>
        </w:tc>
        <w:tc>
          <w:tcPr>
            <w:tcW w:w="810" w:type="dxa"/>
            <w:tcBorders>
              <w:top w:val="nil"/>
              <w:left w:val="nil"/>
              <w:bottom w:val="nil"/>
              <w:right w:val="nil"/>
            </w:tcBorders>
            <w:shd w:val="clear" w:color="auto" w:fill="auto"/>
            <w:noWrap/>
            <w:hideMark/>
          </w:tcPr>
          <w:p w14:paraId="51D2246C"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.14</w:t>
            </w:r>
            <w:r w:rsidR="00A979FC" w:rsidRPr="001E52FE">
              <w:rPr>
                <w:rFonts w:eastAsia="Times New Roman" w:cs="Times New Roman"/>
                <w:sz w:val="20"/>
                <w:szCs w:val="20"/>
              </w:rPr>
              <w:t>†</w:t>
            </w:r>
          </w:p>
        </w:tc>
        <w:tc>
          <w:tcPr>
            <w:tcW w:w="810" w:type="dxa"/>
            <w:tcBorders>
              <w:top w:val="nil"/>
              <w:left w:val="nil"/>
              <w:bottom w:val="nil"/>
              <w:right w:val="nil"/>
            </w:tcBorders>
            <w:shd w:val="clear" w:color="auto" w:fill="auto"/>
            <w:noWrap/>
            <w:hideMark/>
          </w:tcPr>
          <w:p w14:paraId="05CC1AAE"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.06</w:t>
            </w:r>
          </w:p>
        </w:tc>
        <w:tc>
          <w:tcPr>
            <w:tcW w:w="810" w:type="dxa"/>
            <w:tcBorders>
              <w:top w:val="nil"/>
              <w:left w:val="nil"/>
              <w:bottom w:val="nil"/>
              <w:right w:val="nil"/>
            </w:tcBorders>
            <w:shd w:val="clear" w:color="auto" w:fill="auto"/>
            <w:noWrap/>
            <w:hideMark/>
          </w:tcPr>
          <w:p w14:paraId="022837B7"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.02</w:t>
            </w:r>
          </w:p>
        </w:tc>
        <w:tc>
          <w:tcPr>
            <w:tcW w:w="720" w:type="dxa"/>
            <w:tcBorders>
              <w:top w:val="nil"/>
              <w:left w:val="nil"/>
              <w:bottom w:val="nil"/>
              <w:right w:val="nil"/>
            </w:tcBorders>
            <w:shd w:val="clear" w:color="auto" w:fill="auto"/>
            <w:noWrap/>
            <w:hideMark/>
          </w:tcPr>
          <w:p w14:paraId="5BEE2B4A"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-.01</w:t>
            </w:r>
          </w:p>
        </w:tc>
        <w:tc>
          <w:tcPr>
            <w:tcW w:w="900" w:type="dxa"/>
            <w:tcBorders>
              <w:top w:val="nil"/>
              <w:left w:val="nil"/>
              <w:bottom w:val="nil"/>
              <w:right w:val="nil"/>
            </w:tcBorders>
            <w:shd w:val="clear" w:color="auto" w:fill="auto"/>
            <w:noWrap/>
            <w:hideMark/>
          </w:tcPr>
          <w:p w14:paraId="5AFF9E7C"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.63***</w:t>
            </w:r>
          </w:p>
        </w:tc>
        <w:tc>
          <w:tcPr>
            <w:tcW w:w="810" w:type="dxa"/>
            <w:tcBorders>
              <w:top w:val="nil"/>
              <w:left w:val="nil"/>
              <w:bottom w:val="nil"/>
              <w:right w:val="nil"/>
            </w:tcBorders>
            <w:shd w:val="clear" w:color="auto" w:fill="auto"/>
            <w:noWrap/>
            <w:hideMark/>
          </w:tcPr>
          <w:p w14:paraId="1B6FDB68"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.69***</w:t>
            </w:r>
          </w:p>
        </w:tc>
        <w:tc>
          <w:tcPr>
            <w:tcW w:w="810" w:type="dxa"/>
            <w:tcBorders>
              <w:top w:val="nil"/>
              <w:left w:val="nil"/>
              <w:bottom w:val="nil"/>
              <w:right w:val="nil"/>
            </w:tcBorders>
            <w:shd w:val="clear" w:color="auto" w:fill="auto"/>
            <w:noWrap/>
            <w:hideMark/>
          </w:tcPr>
          <w:p w14:paraId="2D40EEE3"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hideMark/>
          </w:tcPr>
          <w:p w14:paraId="2F194698"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vAlign w:val="bottom"/>
            <w:hideMark/>
          </w:tcPr>
          <w:p w14:paraId="77B5FDAC" w14:textId="77777777" w:rsidR="00C522E7" w:rsidRPr="001E52FE" w:rsidRDefault="00C522E7" w:rsidP="00D00F29">
            <w:pPr>
              <w:jc w:val="right"/>
              <w:rPr>
                <w:rFonts w:eastAsia="Times New Roman" w:cs="Times New Roman"/>
                <w:sz w:val="20"/>
                <w:szCs w:val="20"/>
              </w:rPr>
            </w:pPr>
          </w:p>
        </w:tc>
      </w:tr>
      <w:tr w:rsidR="00C522E7" w:rsidRPr="001E52FE" w14:paraId="2921DE31" w14:textId="77777777" w:rsidTr="00D00F29">
        <w:trPr>
          <w:trHeight w:val="290"/>
        </w:trPr>
        <w:tc>
          <w:tcPr>
            <w:tcW w:w="1890" w:type="dxa"/>
            <w:tcBorders>
              <w:top w:val="nil"/>
              <w:left w:val="nil"/>
              <w:bottom w:val="nil"/>
              <w:right w:val="nil"/>
            </w:tcBorders>
            <w:shd w:val="clear" w:color="auto" w:fill="auto"/>
            <w:hideMark/>
          </w:tcPr>
          <w:p w14:paraId="54457C2B" w14:textId="77777777" w:rsidR="00C522E7" w:rsidRPr="001E52FE" w:rsidRDefault="00C522E7" w:rsidP="00D00F29">
            <w:pPr>
              <w:rPr>
                <w:rFonts w:eastAsia="Times New Roman" w:cs="Times New Roman"/>
                <w:sz w:val="22"/>
              </w:rPr>
            </w:pPr>
            <w:r w:rsidRPr="001E52FE">
              <w:rPr>
                <w:rFonts w:eastAsia="Times New Roman" w:cs="Times New Roman"/>
                <w:sz w:val="22"/>
              </w:rPr>
              <w:t xml:space="preserve">14. </w:t>
            </w:r>
            <w:proofErr w:type="spellStart"/>
            <w:r w:rsidRPr="001E52FE">
              <w:rPr>
                <w:rFonts w:eastAsia="Times New Roman" w:cs="Times New Roman"/>
                <w:sz w:val="22"/>
              </w:rPr>
              <w:t>RSupport</w:t>
            </w:r>
            <w:proofErr w:type="spellEnd"/>
          </w:p>
        </w:tc>
        <w:tc>
          <w:tcPr>
            <w:tcW w:w="1333" w:type="dxa"/>
            <w:tcBorders>
              <w:top w:val="nil"/>
              <w:left w:val="nil"/>
              <w:bottom w:val="nil"/>
              <w:right w:val="nil"/>
            </w:tcBorders>
            <w:shd w:val="clear" w:color="auto" w:fill="auto"/>
            <w:noWrap/>
            <w:vAlign w:val="bottom"/>
            <w:hideMark/>
          </w:tcPr>
          <w:p w14:paraId="08B94F99" w14:textId="2065AAC1" w:rsidR="00C522E7" w:rsidRPr="001E52FE" w:rsidRDefault="001A3FFE" w:rsidP="00D00F29">
            <w:pPr>
              <w:jc w:val="center"/>
              <w:rPr>
                <w:rFonts w:eastAsia="Times New Roman" w:cs="Times New Roman"/>
                <w:sz w:val="22"/>
              </w:rPr>
            </w:pPr>
            <w:r w:rsidRPr="001E52FE">
              <w:rPr>
                <w:rFonts w:eastAsia="Times New Roman" w:cs="Times New Roman"/>
                <w:sz w:val="22"/>
              </w:rPr>
              <w:t>0</w:t>
            </w:r>
            <w:r w:rsidR="00C522E7" w:rsidRPr="001E52FE">
              <w:rPr>
                <w:rFonts w:eastAsia="Times New Roman" w:cs="Times New Roman"/>
                <w:sz w:val="22"/>
              </w:rPr>
              <w:t>.00 (.88)</w:t>
            </w:r>
          </w:p>
        </w:tc>
        <w:tc>
          <w:tcPr>
            <w:tcW w:w="827" w:type="dxa"/>
            <w:tcBorders>
              <w:top w:val="nil"/>
              <w:left w:val="nil"/>
              <w:bottom w:val="nil"/>
              <w:right w:val="nil"/>
            </w:tcBorders>
            <w:shd w:val="clear" w:color="auto" w:fill="auto"/>
            <w:noWrap/>
            <w:hideMark/>
          </w:tcPr>
          <w:p w14:paraId="482F491E"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.23*</w:t>
            </w:r>
          </w:p>
        </w:tc>
        <w:tc>
          <w:tcPr>
            <w:tcW w:w="810" w:type="dxa"/>
            <w:tcBorders>
              <w:top w:val="nil"/>
              <w:left w:val="nil"/>
              <w:bottom w:val="nil"/>
              <w:right w:val="nil"/>
            </w:tcBorders>
            <w:shd w:val="clear" w:color="auto" w:fill="auto"/>
            <w:noWrap/>
            <w:hideMark/>
          </w:tcPr>
          <w:p w14:paraId="5914E800"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-.11</w:t>
            </w:r>
          </w:p>
        </w:tc>
        <w:tc>
          <w:tcPr>
            <w:tcW w:w="810" w:type="dxa"/>
            <w:tcBorders>
              <w:top w:val="nil"/>
              <w:left w:val="nil"/>
              <w:bottom w:val="nil"/>
              <w:right w:val="nil"/>
            </w:tcBorders>
            <w:shd w:val="clear" w:color="auto" w:fill="auto"/>
            <w:noWrap/>
            <w:hideMark/>
          </w:tcPr>
          <w:p w14:paraId="12153B9E"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.44***</w:t>
            </w:r>
          </w:p>
        </w:tc>
        <w:tc>
          <w:tcPr>
            <w:tcW w:w="810" w:type="dxa"/>
            <w:tcBorders>
              <w:top w:val="nil"/>
              <w:left w:val="nil"/>
              <w:bottom w:val="nil"/>
              <w:right w:val="nil"/>
            </w:tcBorders>
            <w:shd w:val="clear" w:color="auto" w:fill="auto"/>
            <w:noWrap/>
            <w:hideMark/>
          </w:tcPr>
          <w:p w14:paraId="539CDA4A"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.42***</w:t>
            </w:r>
          </w:p>
        </w:tc>
        <w:tc>
          <w:tcPr>
            <w:tcW w:w="810" w:type="dxa"/>
            <w:tcBorders>
              <w:top w:val="nil"/>
              <w:left w:val="nil"/>
              <w:bottom w:val="nil"/>
              <w:right w:val="nil"/>
            </w:tcBorders>
            <w:shd w:val="clear" w:color="auto" w:fill="auto"/>
            <w:noWrap/>
            <w:hideMark/>
          </w:tcPr>
          <w:p w14:paraId="436F2412"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.62***</w:t>
            </w:r>
          </w:p>
        </w:tc>
        <w:tc>
          <w:tcPr>
            <w:tcW w:w="810" w:type="dxa"/>
            <w:tcBorders>
              <w:top w:val="nil"/>
              <w:left w:val="nil"/>
              <w:bottom w:val="nil"/>
              <w:right w:val="nil"/>
            </w:tcBorders>
            <w:shd w:val="clear" w:color="auto" w:fill="auto"/>
            <w:noWrap/>
            <w:hideMark/>
          </w:tcPr>
          <w:p w14:paraId="19C7A28E"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.70***</w:t>
            </w:r>
          </w:p>
        </w:tc>
        <w:tc>
          <w:tcPr>
            <w:tcW w:w="810" w:type="dxa"/>
            <w:tcBorders>
              <w:top w:val="nil"/>
              <w:left w:val="nil"/>
              <w:bottom w:val="nil"/>
              <w:right w:val="nil"/>
            </w:tcBorders>
            <w:shd w:val="clear" w:color="auto" w:fill="auto"/>
            <w:noWrap/>
            <w:hideMark/>
          </w:tcPr>
          <w:p w14:paraId="1AB3D72A"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.14</w:t>
            </w:r>
            <w:r w:rsidR="00A979FC" w:rsidRPr="001E52FE">
              <w:rPr>
                <w:rFonts w:eastAsia="Times New Roman" w:cs="Times New Roman"/>
                <w:sz w:val="20"/>
                <w:szCs w:val="20"/>
              </w:rPr>
              <w:t>†</w:t>
            </w:r>
          </w:p>
        </w:tc>
        <w:tc>
          <w:tcPr>
            <w:tcW w:w="810" w:type="dxa"/>
            <w:tcBorders>
              <w:top w:val="nil"/>
              <w:left w:val="nil"/>
              <w:bottom w:val="nil"/>
              <w:right w:val="nil"/>
            </w:tcBorders>
            <w:shd w:val="clear" w:color="auto" w:fill="auto"/>
            <w:noWrap/>
            <w:hideMark/>
          </w:tcPr>
          <w:p w14:paraId="005214DE"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.21*</w:t>
            </w:r>
          </w:p>
        </w:tc>
        <w:tc>
          <w:tcPr>
            <w:tcW w:w="810" w:type="dxa"/>
            <w:tcBorders>
              <w:top w:val="nil"/>
              <w:left w:val="nil"/>
              <w:bottom w:val="nil"/>
              <w:right w:val="nil"/>
            </w:tcBorders>
            <w:shd w:val="clear" w:color="auto" w:fill="auto"/>
            <w:noWrap/>
            <w:hideMark/>
          </w:tcPr>
          <w:p w14:paraId="67F73B5F"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.25***</w:t>
            </w:r>
          </w:p>
        </w:tc>
        <w:tc>
          <w:tcPr>
            <w:tcW w:w="720" w:type="dxa"/>
            <w:tcBorders>
              <w:top w:val="nil"/>
              <w:left w:val="nil"/>
              <w:bottom w:val="nil"/>
              <w:right w:val="nil"/>
            </w:tcBorders>
            <w:shd w:val="clear" w:color="auto" w:fill="auto"/>
            <w:noWrap/>
            <w:hideMark/>
          </w:tcPr>
          <w:p w14:paraId="12ADAA98"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-.02</w:t>
            </w:r>
          </w:p>
        </w:tc>
        <w:tc>
          <w:tcPr>
            <w:tcW w:w="900" w:type="dxa"/>
            <w:tcBorders>
              <w:top w:val="nil"/>
              <w:left w:val="nil"/>
              <w:bottom w:val="nil"/>
              <w:right w:val="nil"/>
            </w:tcBorders>
            <w:shd w:val="clear" w:color="auto" w:fill="auto"/>
            <w:noWrap/>
            <w:hideMark/>
          </w:tcPr>
          <w:p w14:paraId="2B764D7B"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.74***</w:t>
            </w:r>
          </w:p>
        </w:tc>
        <w:tc>
          <w:tcPr>
            <w:tcW w:w="810" w:type="dxa"/>
            <w:tcBorders>
              <w:top w:val="nil"/>
              <w:left w:val="nil"/>
              <w:bottom w:val="nil"/>
              <w:right w:val="nil"/>
            </w:tcBorders>
            <w:shd w:val="clear" w:color="auto" w:fill="auto"/>
            <w:noWrap/>
            <w:hideMark/>
          </w:tcPr>
          <w:p w14:paraId="74872D5D"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.50***</w:t>
            </w:r>
          </w:p>
        </w:tc>
        <w:tc>
          <w:tcPr>
            <w:tcW w:w="810" w:type="dxa"/>
            <w:tcBorders>
              <w:top w:val="nil"/>
              <w:left w:val="nil"/>
              <w:bottom w:val="nil"/>
              <w:right w:val="nil"/>
            </w:tcBorders>
            <w:shd w:val="clear" w:color="auto" w:fill="auto"/>
            <w:noWrap/>
            <w:hideMark/>
          </w:tcPr>
          <w:p w14:paraId="00E44625"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.71***</w:t>
            </w:r>
          </w:p>
        </w:tc>
        <w:tc>
          <w:tcPr>
            <w:tcW w:w="810" w:type="dxa"/>
            <w:tcBorders>
              <w:top w:val="nil"/>
              <w:left w:val="nil"/>
              <w:bottom w:val="nil"/>
              <w:right w:val="nil"/>
            </w:tcBorders>
            <w:shd w:val="clear" w:color="auto" w:fill="auto"/>
            <w:noWrap/>
            <w:hideMark/>
          </w:tcPr>
          <w:p w14:paraId="5063A892" w14:textId="77777777" w:rsidR="00C522E7" w:rsidRPr="001E52FE" w:rsidRDefault="00C522E7" w:rsidP="00D00F29">
            <w:pPr>
              <w:jc w:val="right"/>
              <w:rPr>
                <w:rFonts w:eastAsia="Times New Roman" w:cs="Times New Roman"/>
                <w:sz w:val="20"/>
                <w:szCs w:val="20"/>
              </w:rPr>
            </w:pPr>
          </w:p>
        </w:tc>
        <w:tc>
          <w:tcPr>
            <w:tcW w:w="810" w:type="dxa"/>
            <w:tcBorders>
              <w:top w:val="nil"/>
              <w:left w:val="nil"/>
              <w:bottom w:val="nil"/>
              <w:right w:val="nil"/>
            </w:tcBorders>
            <w:shd w:val="clear" w:color="auto" w:fill="auto"/>
            <w:noWrap/>
            <w:vAlign w:val="bottom"/>
            <w:hideMark/>
          </w:tcPr>
          <w:p w14:paraId="1A46CC8C" w14:textId="77777777" w:rsidR="00C522E7" w:rsidRPr="001E52FE" w:rsidRDefault="00C522E7" w:rsidP="00D00F29">
            <w:pPr>
              <w:jc w:val="right"/>
              <w:rPr>
                <w:rFonts w:eastAsia="Times New Roman" w:cs="Times New Roman"/>
                <w:sz w:val="20"/>
                <w:szCs w:val="20"/>
              </w:rPr>
            </w:pPr>
          </w:p>
        </w:tc>
      </w:tr>
      <w:tr w:rsidR="00C522E7" w:rsidRPr="001E52FE" w14:paraId="05F5FCD0" w14:textId="77777777" w:rsidTr="00D00F29">
        <w:trPr>
          <w:trHeight w:val="290"/>
        </w:trPr>
        <w:tc>
          <w:tcPr>
            <w:tcW w:w="1890" w:type="dxa"/>
            <w:tcBorders>
              <w:top w:val="nil"/>
              <w:left w:val="nil"/>
              <w:right w:val="nil"/>
            </w:tcBorders>
            <w:shd w:val="clear" w:color="auto" w:fill="auto"/>
            <w:hideMark/>
          </w:tcPr>
          <w:p w14:paraId="1355D4A5" w14:textId="77777777" w:rsidR="00C522E7" w:rsidRPr="001E52FE" w:rsidRDefault="00C522E7" w:rsidP="00D00F29">
            <w:pPr>
              <w:rPr>
                <w:rFonts w:eastAsia="Times New Roman" w:cs="Times New Roman"/>
                <w:sz w:val="22"/>
              </w:rPr>
            </w:pPr>
            <w:r w:rsidRPr="001E52FE">
              <w:rPr>
                <w:rFonts w:eastAsia="Times New Roman" w:cs="Times New Roman"/>
                <w:sz w:val="22"/>
              </w:rPr>
              <w:t xml:space="preserve">15. </w:t>
            </w:r>
            <w:proofErr w:type="spellStart"/>
            <w:r w:rsidRPr="001E52FE">
              <w:rPr>
                <w:rFonts w:eastAsia="Times New Roman" w:cs="Times New Roman"/>
                <w:sz w:val="22"/>
              </w:rPr>
              <w:t>RAdvQual</w:t>
            </w:r>
            <w:proofErr w:type="spellEnd"/>
          </w:p>
        </w:tc>
        <w:tc>
          <w:tcPr>
            <w:tcW w:w="1333" w:type="dxa"/>
            <w:tcBorders>
              <w:top w:val="nil"/>
              <w:left w:val="nil"/>
              <w:right w:val="nil"/>
            </w:tcBorders>
            <w:shd w:val="clear" w:color="auto" w:fill="auto"/>
            <w:noWrap/>
            <w:vAlign w:val="bottom"/>
            <w:hideMark/>
          </w:tcPr>
          <w:p w14:paraId="5ECB856C"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4.19 (.63)</w:t>
            </w:r>
          </w:p>
        </w:tc>
        <w:tc>
          <w:tcPr>
            <w:tcW w:w="827" w:type="dxa"/>
            <w:tcBorders>
              <w:top w:val="nil"/>
              <w:left w:val="nil"/>
              <w:right w:val="nil"/>
            </w:tcBorders>
            <w:shd w:val="clear" w:color="auto" w:fill="auto"/>
            <w:noWrap/>
            <w:hideMark/>
          </w:tcPr>
          <w:p w14:paraId="40CA6503"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.13</w:t>
            </w:r>
          </w:p>
        </w:tc>
        <w:tc>
          <w:tcPr>
            <w:tcW w:w="810" w:type="dxa"/>
            <w:tcBorders>
              <w:top w:val="nil"/>
              <w:left w:val="nil"/>
              <w:right w:val="nil"/>
            </w:tcBorders>
            <w:shd w:val="clear" w:color="auto" w:fill="auto"/>
            <w:noWrap/>
            <w:hideMark/>
          </w:tcPr>
          <w:p w14:paraId="2F9209B2"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-.05</w:t>
            </w:r>
          </w:p>
        </w:tc>
        <w:tc>
          <w:tcPr>
            <w:tcW w:w="810" w:type="dxa"/>
            <w:tcBorders>
              <w:top w:val="nil"/>
              <w:left w:val="nil"/>
              <w:right w:val="nil"/>
            </w:tcBorders>
            <w:shd w:val="clear" w:color="auto" w:fill="auto"/>
            <w:noWrap/>
            <w:hideMark/>
          </w:tcPr>
          <w:p w14:paraId="108AB0D5"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-.15</w:t>
            </w:r>
            <w:r w:rsidR="00A979FC" w:rsidRPr="001E52FE">
              <w:rPr>
                <w:rFonts w:eastAsia="Times New Roman" w:cs="Times New Roman"/>
                <w:sz w:val="20"/>
                <w:szCs w:val="20"/>
              </w:rPr>
              <w:t>†</w:t>
            </w:r>
          </w:p>
        </w:tc>
        <w:tc>
          <w:tcPr>
            <w:tcW w:w="810" w:type="dxa"/>
            <w:tcBorders>
              <w:top w:val="nil"/>
              <w:left w:val="nil"/>
              <w:right w:val="nil"/>
            </w:tcBorders>
            <w:shd w:val="clear" w:color="auto" w:fill="auto"/>
            <w:noWrap/>
            <w:hideMark/>
          </w:tcPr>
          <w:p w14:paraId="33AE9394"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-.18*</w:t>
            </w:r>
          </w:p>
        </w:tc>
        <w:tc>
          <w:tcPr>
            <w:tcW w:w="810" w:type="dxa"/>
            <w:tcBorders>
              <w:top w:val="nil"/>
              <w:left w:val="nil"/>
              <w:right w:val="nil"/>
            </w:tcBorders>
            <w:shd w:val="clear" w:color="auto" w:fill="auto"/>
            <w:noWrap/>
            <w:hideMark/>
          </w:tcPr>
          <w:p w14:paraId="4B605115"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-.04</w:t>
            </w:r>
          </w:p>
        </w:tc>
        <w:tc>
          <w:tcPr>
            <w:tcW w:w="810" w:type="dxa"/>
            <w:tcBorders>
              <w:top w:val="nil"/>
              <w:left w:val="nil"/>
              <w:right w:val="nil"/>
            </w:tcBorders>
            <w:shd w:val="clear" w:color="auto" w:fill="auto"/>
            <w:noWrap/>
            <w:hideMark/>
          </w:tcPr>
          <w:p w14:paraId="491374EF"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.02</w:t>
            </w:r>
          </w:p>
        </w:tc>
        <w:tc>
          <w:tcPr>
            <w:tcW w:w="810" w:type="dxa"/>
            <w:tcBorders>
              <w:top w:val="nil"/>
              <w:left w:val="nil"/>
              <w:right w:val="nil"/>
            </w:tcBorders>
            <w:shd w:val="clear" w:color="auto" w:fill="auto"/>
            <w:noWrap/>
            <w:hideMark/>
          </w:tcPr>
          <w:p w14:paraId="0A79DAA8"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.08</w:t>
            </w:r>
          </w:p>
        </w:tc>
        <w:tc>
          <w:tcPr>
            <w:tcW w:w="810" w:type="dxa"/>
            <w:tcBorders>
              <w:top w:val="nil"/>
              <w:left w:val="nil"/>
              <w:right w:val="nil"/>
            </w:tcBorders>
            <w:shd w:val="clear" w:color="auto" w:fill="auto"/>
            <w:noWrap/>
            <w:hideMark/>
          </w:tcPr>
          <w:p w14:paraId="7FC60CBC"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.19*</w:t>
            </w:r>
          </w:p>
        </w:tc>
        <w:tc>
          <w:tcPr>
            <w:tcW w:w="810" w:type="dxa"/>
            <w:tcBorders>
              <w:top w:val="nil"/>
              <w:left w:val="nil"/>
              <w:right w:val="nil"/>
            </w:tcBorders>
            <w:shd w:val="clear" w:color="auto" w:fill="auto"/>
            <w:noWrap/>
            <w:hideMark/>
          </w:tcPr>
          <w:p w14:paraId="6BE380DB"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.03</w:t>
            </w:r>
          </w:p>
        </w:tc>
        <w:tc>
          <w:tcPr>
            <w:tcW w:w="720" w:type="dxa"/>
            <w:tcBorders>
              <w:top w:val="nil"/>
              <w:left w:val="nil"/>
              <w:right w:val="nil"/>
            </w:tcBorders>
            <w:shd w:val="clear" w:color="auto" w:fill="auto"/>
            <w:noWrap/>
            <w:hideMark/>
          </w:tcPr>
          <w:p w14:paraId="11D33571"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-.15</w:t>
            </w:r>
            <w:r w:rsidR="00A979FC" w:rsidRPr="001E52FE">
              <w:rPr>
                <w:rFonts w:eastAsia="Times New Roman" w:cs="Times New Roman"/>
                <w:sz w:val="20"/>
                <w:szCs w:val="20"/>
              </w:rPr>
              <w:t>†</w:t>
            </w:r>
          </w:p>
        </w:tc>
        <w:tc>
          <w:tcPr>
            <w:tcW w:w="900" w:type="dxa"/>
            <w:tcBorders>
              <w:top w:val="nil"/>
              <w:left w:val="nil"/>
              <w:right w:val="nil"/>
            </w:tcBorders>
            <w:shd w:val="clear" w:color="auto" w:fill="auto"/>
            <w:noWrap/>
            <w:hideMark/>
          </w:tcPr>
          <w:p w14:paraId="6EB5E878"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.09</w:t>
            </w:r>
          </w:p>
        </w:tc>
        <w:tc>
          <w:tcPr>
            <w:tcW w:w="810" w:type="dxa"/>
            <w:tcBorders>
              <w:top w:val="nil"/>
              <w:left w:val="nil"/>
              <w:right w:val="nil"/>
            </w:tcBorders>
            <w:shd w:val="clear" w:color="auto" w:fill="auto"/>
            <w:noWrap/>
            <w:hideMark/>
          </w:tcPr>
          <w:p w14:paraId="53A43B2E"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-.02</w:t>
            </w:r>
          </w:p>
        </w:tc>
        <w:tc>
          <w:tcPr>
            <w:tcW w:w="810" w:type="dxa"/>
            <w:tcBorders>
              <w:top w:val="nil"/>
              <w:left w:val="nil"/>
              <w:right w:val="nil"/>
            </w:tcBorders>
            <w:shd w:val="clear" w:color="auto" w:fill="auto"/>
            <w:noWrap/>
            <w:hideMark/>
          </w:tcPr>
          <w:p w14:paraId="5E7F29A7"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.07</w:t>
            </w:r>
          </w:p>
        </w:tc>
        <w:tc>
          <w:tcPr>
            <w:tcW w:w="810" w:type="dxa"/>
            <w:tcBorders>
              <w:top w:val="nil"/>
              <w:left w:val="nil"/>
              <w:right w:val="nil"/>
            </w:tcBorders>
            <w:shd w:val="clear" w:color="auto" w:fill="auto"/>
            <w:noWrap/>
            <w:hideMark/>
          </w:tcPr>
          <w:p w14:paraId="4F6DD29E"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.19*</w:t>
            </w:r>
          </w:p>
        </w:tc>
        <w:tc>
          <w:tcPr>
            <w:tcW w:w="810" w:type="dxa"/>
            <w:tcBorders>
              <w:top w:val="nil"/>
              <w:left w:val="nil"/>
              <w:right w:val="nil"/>
            </w:tcBorders>
            <w:shd w:val="clear" w:color="auto" w:fill="auto"/>
            <w:noWrap/>
            <w:vAlign w:val="bottom"/>
            <w:hideMark/>
          </w:tcPr>
          <w:p w14:paraId="4335E744" w14:textId="77777777" w:rsidR="00C522E7" w:rsidRPr="001E52FE" w:rsidRDefault="00C522E7" w:rsidP="00D00F29">
            <w:pPr>
              <w:jc w:val="right"/>
              <w:rPr>
                <w:rFonts w:eastAsia="Times New Roman" w:cs="Times New Roman"/>
                <w:sz w:val="20"/>
                <w:szCs w:val="20"/>
              </w:rPr>
            </w:pPr>
          </w:p>
        </w:tc>
      </w:tr>
      <w:tr w:rsidR="00C522E7" w:rsidRPr="001E52FE" w14:paraId="7DE9B802" w14:textId="77777777" w:rsidTr="00D00F29">
        <w:trPr>
          <w:trHeight w:val="290"/>
        </w:trPr>
        <w:tc>
          <w:tcPr>
            <w:tcW w:w="1890" w:type="dxa"/>
            <w:tcBorders>
              <w:top w:val="nil"/>
              <w:left w:val="nil"/>
              <w:bottom w:val="single" w:sz="4" w:space="0" w:color="auto"/>
              <w:right w:val="nil"/>
            </w:tcBorders>
            <w:shd w:val="clear" w:color="auto" w:fill="auto"/>
            <w:hideMark/>
          </w:tcPr>
          <w:p w14:paraId="48F07AA0" w14:textId="77777777" w:rsidR="00C522E7" w:rsidRPr="001E52FE" w:rsidRDefault="00C522E7" w:rsidP="00D00F29">
            <w:pPr>
              <w:rPr>
                <w:rFonts w:eastAsia="Times New Roman" w:cs="Times New Roman"/>
                <w:sz w:val="22"/>
              </w:rPr>
            </w:pPr>
            <w:r w:rsidRPr="001E52FE">
              <w:rPr>
                <w:rFonts w:eastAsia="Times New Roman" w:cs="Times New Roman"/>
                <w:sz w:val="22"/>
              </w:rPr>
              <w:t xml:space="preserve">16. </w:t>
            </w:r>
            <w:proofErr w:type="spellStart"/>
            <w:r w:rsidRPr="001E52FE">
              <w:rPr>
                <w:rFonts w:eastAsia="Times New Roman" w:cs="Times New Roman"/>
                <w:sz w:val="22"/>
              </w:rPr>
              <w:t>RConvSat</w:t>
            </w:r>
            <w:proofErr w:type="spellEnd"/>
          </w:p>
        </w:tc>
        <w:tc>
          <w:tcPr>
            <w:tcW w:w="1333" w:type="dxa"/>
            <w:tcBorders>
              <w:top w:val="nil"/>
              <w:left w:val="nil"/>
              <w:bottom w:val="single" w:sz="4" w:space="0" w:color="auto"/>
              <w:right w:val="nil"/>
            </w:tcBorders>
            <w:shd w:val="clear" w:color="auto" w:fill="auto"/>
            <w:noWrap/>
            <w:vAlign w:val="bottom"/>
            <w:hideMark/>
          </w:tcPr>
          <w:p w14:paraId="4C9D1568" w14:textId="77777777" w:rsidR="00C522E7" w:rsidRPr="001E52FE" w:rsidRDefault="00C522E7" w:rsidP="00D00F29">
            <w:pPr>
              <w:jc w:val="center"/>
              <w:rPr>
                <w:rFonts w:eastAsia="Times New Roman" w:cs="Times New Roman"/>
                <w:sz w:val="22"/>
              </w:rPr>
            </w:pPr>
            <w:r w:rsidRPr="001E52FE">
              <w:rPr>
                <w:rFonts w:eastAsia="Times New Roman" w:cs="Times New Roman"/>
                <w:sz w:val="22"/>
              </w:rPr>
              <w:t>4.21 (.52)</w:t>
            </w:r>
          </w:p>
        </w:tc>
        <w:tc>
          <w:tcPr>
            <w:tcW w:w="827" w:type="dxa"/>
            <w:tcBorders>
              <w:top w:val="nil"/>
              <w:left w:val="nil"/>
              <w:bottom w:val="single" w:sz="4" w:space="0" w:color="auto"/>
              <w:right w:val="nil"/>
            </w:tcBorders>
            <w:shd w:val="clear" w:color="auto" w:fill="auto"/>
            <w:noWrap/>
            <w:hideMark/>
          </w:tcPr>
          <w:p w14:paraId="414B02FC"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.20*</w:t>
            </w:r>
          </w:p>
        </w:tc>
        <w:tc>
          <w:tcPr>
            <w:tcW w:w="810" w:type="dxa"/>
            <w:tcBorders>
              <w:top w:val="nil"/>
              <w:left w:val="nil"/>
              <w:bottom w:val="single" w:sz="4" w:space="0" w:color="auto"/>
              <w:right w:val="nil"/>
            </w:tcBorders>
            <w:shd w:val="clear" w:color="auto" w:fill="auto"/>
            <w:noWrap/>
            <w:hideMark/>
          </w:tcPr>
          <w:p w14:paraId="75BE4CF8"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-.04</w:t>
            </w:r>
          </w:p>
        </w:tc>
        <w:tc>
          <w:tcPr>
            <w:tcW w:w="810" w:type="dxa"/>
            <w:tcBorders>
              <w:top w:val="nil"/>
              <w:left w:val="nil"/>
              <w:bottom w:val="single" w:sz="4" w:space="0" w:color="auto"/>
              <w:right w:val="nil"/>
            </w:tcBorders>
            <w:shd w:val="clear" w:color="auto" w:fill="auto"/>
            <w:noWrap/>
            <w:hideMark/>
          </w:tcPr>
          <w:p w14:paraId="209BB49D"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.05</w:t>
            </w:r>
          </w:p>
        </w:tc>
        <w:tc>
          <w:tcPr>
            <w:tcW w:w="810" w:type="dxa"/>
            <w:tcBorders>
              <w:top w:val="nil"/>
              <w:left w:val="nil"/>
              <w:bottom w:val="single" w:sz="4" w:space="0" w:color="auto"/>
              <w:right w:val="nil"/>
            </w:tcBorders>
            <w:shd w:val="clear" w:color="auto" w:fill="auto"/>
            <w:noWrap/>
            <w:hideMark/>
          </w:tcPr>
          <w:p w14:paraId="106CC1E1"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-.05</w:t>
            </w:r>
          </w:p>
        </w:tc>
        <w:tc>
          <w:tcPr>
            <w:tcW w:w="810" w:type="dxa"/>
            <w:tcBorders>
              <w:top w:val="nil"/>
              <w:left w:val="nil"/>
              <w:bottom w:val="single" w:sz="4" w:space="0" w:color="auto"/>
              <w:right w:val="nil"/>
            </w:tcBorders>
            <w:shd w:val="clear" w:color="auto" w:fill="auto"/>
            <w:noWrap/>
            <w:hideMark/>
          </w:tcPr>
          <w:p w14:paraId="37569C39"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.12</w:t>
            </w:r>
          </w:p>
        </w:tc>
        <w:tc>
          <w:tcPr>
            <w:tcW w:w="810" w:type="dxa"/>
            <w:tcBorders>
              <w:top w:val="nil"/>
              <w:left w:val="nil"/>
              <w:bottom w:val="single" w:sz="4" w:space="0" w:color="auto"/>
              <w:right w:val="nil"/>
            </w:tcBorders>
            <w:shd w:val="clear" w:color="auto" w:fill="auto"/>
            <w:noWrap/>
            <w:hideMark/>
          </w:tcPr>
          <w:p w14:paraId="10B3F520"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.23**</w:t>
            </w:r>
          </w:p>
        </w:tc>
        <w:tc>
          <w:tcPr>
            <w:tcW w:w="810" w:type="dxa"/>
            <w:tcBorders>
              <w:top w:val="nil"/>
              <w:left w:val="nil"/>
              <w:bottom w:val="single" w:sz="4" w:space="0" w:color="auto"/>
              <w:right w:val="nil"/>
            </w:tcBorders>
            <w:shd w:val="clear" w:color="auto" w:fill="auto"/>
            <w:noWrap/>
            <w:hideMark/>
          </w:tcPr>
          <w:p w14:paraId="62CF8BDD"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-.07</w:t>
            </w:r>
          </w:p>
        </w:tc>
        <w:tc>
          <w:tcPr>
            <w:tcW w:w="810" w:type="dxa"/>
            <w:tcBorders>
              <w:top w:val="nil"/>
              <w:left w:val="nil"/>
              <w:bottom w:val="single" w:sz="4" w:space="0" w:color="auto"/>
              <w:right w:val="nil"/>
            </w:tcBorders>
            <w:shd w:val="clear" w:color="auto" w:fill="auto"/>
            <w:noWrap/>
            <w:hideMark/>
          </w:tcPr>
          <w:p w14:paraId="4F3582D0"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.31***</w:t>
            </w:r>
          </w:p>
        </w:tc>
        <w:tc>
          <w:tcPr>
            <w:tcW w:w="810" w:type="dxa"/>
            <w:tcBorders>
              <w:top w:val="nil"/>
              <w:left w:val="nil"/>
              <w:bottom w:val="single" w:sz="4" w:space="0" w:color="auto"/>
              <w:right w:val="nil"/>
            </w:tcBorders>
            <w:shd w:val="clear" w:color="auto" w:fill="auto"/>
            <w:noWrap/>
            <w:hideMark/>
          </w:tcPr>
          <w:p w14:paraId="52E8441F"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.19*</w:t>
            </w:r>
          </w:p>
        </w:tc>
        <w:tc>
          <w:tcPr>
            <w:tcW w:w="720" w:type="dxa"/>
            <w:tcBorders>
              <w:top w:val="nil"/>
              <w:left w:val="nil"/>
              <w:bottom w:val="single" w:sz="4" w:space="0" w:color="auto"/>
              <w:right w:val="nil"/>
            </w:tcBorders>
            <w:shd w:val="clear" w:color="auto" w:fill="auto"/>
            <w:noWrap/>
            <w:hideMark/>
          </w:tcPr>
          <w:p w14:paraId="338A3BF2"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-.20*</w:t>
            </w:r>
          </w:p>
        </w:tc>
        <w:tc>
          <w:tcPr>
            <w:tcW w:w="900" w:type="dxa"/>
            <w:tcBorders>
              <w:top w:val="nil"/>
              <w:left w:val="nil"/>
              <w:bottom w:val="single" w:sz="4" w:space="0" w:color="auto"/>
              <w:right w:val="nil"/>
            </w:tcBorders>
            <w:shd w:val="clear" w:color="auto" w:fill="auto"/>
            <w:noWrap/>
            <w:hideMark/>
          </w:tcPr>
          <w:p w14:paraId="592A6EDB"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.25**</w:t>
            </w:r>
          </w:p>
        </w:tc>
        <w:tc>
          <w:tcPr>
            <w:tcW w:w="810" w:type="dxa"/>
            <w:tcBorders>
              <w:top w:val="nil"/>
              <w:left w:val="nil"/>
              <w:bottom w:val="single" w:sz="4" w:space="0" w:color="auto"/>
              <w:right w:val="nil"/>
            </w:tcBorders>
            <w:shd w:val="clear" w:color="auto" w:fill="auto"/>
            <w:noWrap/>
            <w:hideMark/>
          </w:tcPr>
          <w:p w14:paraId="4BEBAD63"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.03</w:t>
            </w:r>
          </w:p>
        </w:tc>
        <w:tc>
          <w:tcPr>
            <w:tcW w:w="810" w:type="dxa"/>
            <w:tcBorders>
              <w:top w:val="nil"/>
              <w:left w:val="nil"/>
              <w:bottom w:val="single" w:sz="4" w:space="0" w:color="auto"/>
              <w:right w:val="nil"/>
            </w:tcBorders>
            <w:shd w:val="clear" w:color="auto" w:fill="auto"/>
            <w:noWrap/>
            <w:hideMark/>
          </w:tcPr>
          <w:p w14:paraId="2B678309"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.20*</w:t>
            </w:r>
          </w:p>
        </w:tc>
        <w:tc>
          <w:tcPr>
            <w:tcW w:w="810" w:type="dxa"/>
            <w:tcBorders>
              <w:top w:val="nil"/>
              <w:left w:val="nil"/>
              <w:bottom w:val="single" w:sz="4" w:space="0" w:color="auto"/>
              <w:right w:val="nil"/>
            </w:tcBorders>
            <w:shd w:val="clear" w:color="auto" w:fill="auto"/>
            <w:noWrap/>
            <w:hideMark/>
          </w:tcPr>
          <w:p w14:paraId="3D1AC277"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.32***</w:t>
            </w:r>
          </w:p>
        </w:tc>
        <w:tc>
          <w:tcPr>
            <w:tcW w:w="810" w:type="dxa"/>
            <w:tcBorders>
              <w:top w:val="nil"/>
              <w:left w:val="nil"/>
              <w:bottom w:val="single" w:sz="4" w:space="0" w:color="auto"/>
              <w:right w:val="nil"/>
            </w:tcBorders>
            <w:shd w:val="clear" w:color="auto" w:fill="auto"/>
            <w:noWrap/>
            <w:hideMark/>
          </w:tcPr>
          <w:p w14:paraId="46A33309" w14:textId="77777777" w:rsidR="00C522E7" w:rsidRPr="001E52FE" w:rsidRDefault="00C522E7" w:rsidP="00D00F29">
            <w:pPr>
              <w:jc w:val="right"/>
              <w:rPr>
                <w:rFonts w:eastAsia="Times New Roman" w:cs="Times New Roman"/>
                <w:sz w:val="20"/>
                <w:szCs w:val="20"/>
              </w:rPr>
            </w:pPr>
            <w:r w:rsidRPr="001E52FE">
              <w:rPr>
                <w:rFonts w:eastAsia="Times New Roman" w:cs="Times New Roman"/>
                <w:sz w:val="20"/>
                <w:szCs w:val="20"/>
              </w:rPr>
              <w:t>.48***</w:t>
            </w:r>
          </w:p>
        </w:tc>
      </w:tr>
    </w:tbl>
    <w:p w14:paraId="0A451978" w14:textId="551418B3" w:rsidR="00C522E7" w:rsidRPr="001E52FE" w:rsidRDefault="00C522E7" w:rsidP="00C522E7">
      <w:r w:rsidRPr="001E52FE">
        <w:rPr>
          <w:szCs w:val="24"/>
        </w:rPr>
        <w:t xml:space="preserve"> </w:t>
      </w:r>
      <w:r w:rsidRPr="001E52FE">
        <w:rPr>
          <w:i/>
        </w:rPr>
        <w:t xml:space="preserve">Notes. </w:t>
      </w:r>
      <w:r w:rsidRPr="001E52FE">
        <w:t xml:space="preserve">“A” prefix. = Advisor’s Rating. “R” prefix = Advice Receiver’s Rating. </w:t>
      </w:r>
      <w:r w:rsidR="00A70A5D" w:rsidRPr="001E52FE">
        <w:t xml:space="preserve">For sex, 0 = </w:t>
      </w:r>
      <w:r w:rsidR="00A70A5D" w:rsidRPr="001E52FE">
        <w:rPr>
          <w:i/>
        </w:rPr>
        <w:t>male</w:t>
      </w:r>
      <w:r w:rsidR="00A70A5D" w:rsidRPr="001E52FE">
        <w:t xml:space="preserve">, 1 = </w:t>
      </w:r>
      <w:r w:rsidR="00A70A5D" w:rsidRPr="001E52FE">
        <w:rPr>
          <w:i/>
        </w:rPr>
        <w:t>female</w:t>
      </w:r>
      <w:r w:rsidR="00A70A5D" w:rsidRPr="001E52FE">
        <w:t xml:space="preserve">. </w:t>
      </w:r>
      <w:proofErr w:type="spellStart"/>
      <w:r w:rsidR="00E0117B" w:rsidRPr="001E52FE">
        <w:t>PartnerChar</w:t>
      </w:r>
      <w:proofErr w:type="spellEnd"/>
      <w:r w:rsidR="00E0117B" w:rsidRPr="001E52FE">
        <w:t xml:space="preserve"> = Partner Characteristics. </w:t>
      </w:r>
      <w:proofErr w:type="spellStart"/>
      <w:r w:rsidRPr="001E52FE">
        <w:t>Intdpd</w:t>
      </w:r>
      <w:proofErr w:type="spellEnd"/>
      <w:r w:rsidRPr="001E52FE">
        <w:t xml:space="preserve"> = Interdependence. Support = Past Support Received. </w:t>
      </w:r>
      <w:proofErr w:type="spellStart"/>
      <w:r w:rsidRPr="001E52FE">
        <w:t>AdvQual</w:t>
      </w:r>
      <w:proofErr w:type="spellEnd"/>
      <w:r w:rsidRPr="001E52FE">
        <w:t xml:space="preserve"> = Advice Quality. </w:t>
      </w:r>
      <w:proofErr w:type="spellStart"/>
      <w:r w:rsidRPr="001E52FE">
        <w:t>ConvSat</w:t>
      </w:r>
      <w:proofErr w:type="spellEnd"/>
      <w:r w:rsidRPr="001E52FE">
        <w:t xml:space="preserve"> = Conversation Satisfaction. </w:t>
      </w:r>
      <w:proofErr w:type="spellStart"/>
      <w:r w:rsidRPr="001E52FE">
        <w:t>PartnerChar</w:t>
      </w:r>
      <w:proofErr w:type="spellEnd"/>
      <w:r w:rsidRPr="001E52FE">
        <w:t xml:space="preserve"> and Support variables are downloaded latent factor scores (with the indicators respectively being the standardized scales of liking, similarity, and trustworthiness; and emotional, information, network, and esteem support).</w:t>
      </w:r>
      <w:r w:rsidR="00A71D6A" w:rsidRPr="001E52FE">
        <w:t xml:space="preserve"> </w:t>
      </w:r>
    </w:p>
    <w:p w14:paraId="17EEC412" w14:textId="77777777" w:rsidR="00C522E7" w:rsidRPr="001E52FE" w:rsidRDefault="00D82272" w:rsidP="00C522E7">
      <w:pPr>
        <w:rPr>
          <w:i/>
        </w:rPr>
      </w:pPr>
      <w:r w:rsidRPr="001E52FE">
        <w:rPr>
          <w:rFonts w:eastAsia="Calibri" w:cs="Times New Roman"/>
          <w:sz w:val="22"/>
        </w:rPr>
        <w:t>†</w:t>
      </w:r>
      <w:r w:rsidRPr="001E52FE">
        <w:rPr>
          <w:rFonts w:eastAsia="Calibri" w:cs="Times New Roman"/>
          <w:i/>
          <w:sz w:val="22"/>
        </w:rPr>
        <w:t xml:space="preserve">p </w:t>
      </w:r>
      <w:r w:rsidRPr="001E52FE">
        <w:rPr>
          <w:rFonts w:eastAsia="Calibri" w:cs="Times New Roman"/>
          <w:sz w:val="22"/>
        </w:rPr>
        <w:t>&lt; .10</w:t>
      </w:r>
      <w:r w:rsidR="00C522E7" w:rsidRPr="001E52FE">
        <w:t>,</w:t>
      </w:r>
      <w:r w:rsidR="00C522E7" w:rsidRPr="001E52FE">
        <w:rPr>
          <w:i/>
        </w:rPr>
        <w:t xml:space="preserve"> *p </w:t>
      </w:r>
      <w:r w:rsidR="00C522E7" w:rsidRPr="001E52FE">
        <w:t>&lt; .05, **</w:t>
      </w:r>
      <w:r w:rsidR="00C522E7" w:rsidRPr="001E52FE">
        <w:rPr>
          <w:i/>
        </w:rPr>
        <w:t xml:space="preserve">p </w:t>
      </w:r>
      <w:r w:rsidR="00C522E7" w:rsidRPr="001E52FE">
        <w:t>&lt; .01, ***</w:t>
      </w:r>
      <w:r w:rsidR="00C522E7" w:rsidRPr="001E52FE">
        <w:rPr>
          <w:i/>
        </w:rPr>
        <w:t xml:space="preserve">p </w:t>
      </w:r>
      <w:r w:rsidR="00C522E7" w:rsidRPr="001E52FE">
        <w:t>&lt; .001.</w:t>
      </w:r>
      <w:r w:rsidR="00C522E7" w:rsidRPr="001E52FE">
        <w:rPr>
          <w:i/>
        </w:rPr>
        <w:t xml:space="preserve"> </w:t>
      </w:r>
    </w:p>
    <w:p w14:paraId="3DE4B836" w14:textId="77777777" w:rsidR="00C522E7" w:rsidRPr="001E52FE" w:rsidRDefault="00C522E7" w:rsidP="00C522E7">
      <w:pPr>
        <w:spacing w:after="160"/>
        <w:rPr>
          <w:b/>
        </w:rPr>
        <w:sectPr w:rsidR="00C522E7" w:rsidRPr="001E52FE" w:rsidSect="00D00F29">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pPr>
    </w:p>
    <w:p w14:paraId="0A7BC903" w14:textId="77777777" w:rsidR="00C522E7" w:rsidRPr="001E52FE" w:rsidRDefault="00C522E7" w:rsidP="00C522E7">
      <w:pPr>
        <w:rPr>
          <w:szCs w:val="24"/>
        </w:rPr>
      </w:pPr>
      <w:r w:rsidRPr="001E52FE">
        <w:rPr>
          <w:szCs w:val="24"/>
        </w:rPr>
        <w:lastRenderedPageBreak/>
        <w:t>Table 3</w:t>
      </w:r>
    </w:p>
    <w:p w14:paraId="49DB1FF4" w14:textId="77777777" w:rsidR="0049699A" w:rsidRPr="001E52FE" w:rsidRDefault="0049699A" w:rsidP="000330FC">
      <w:pPr>
        <w:rPr>
          <w:szCs w:val="24"/>
        </w:rPr>
      </w:pPr>
      <w:r w:rsidRPr="001E52FE">
        <w:rPr>
          <w:szCs w:val="24"/>
        </w:rPr>
        <w:t>APIM Standardized Path Estimates</w:t>
      </w:r>
    </w:p>
    <w:tbl>
      <w:tblPr>
        <w:tblW w:w="8604" w:type="dxa"/>
        <w:tblLook w:val="04A0" w:firstRow="1" w:lastRow="0" w:firstColumn="1" w:lastColumn="0" w:noHBand="0" w:noVBand="1"/>
      </w:tblPr>
      <w:tblGrid>
        <w:gridCol w:w="960"/>
        <w:gridCol w:w="1560"/>
        <w:gridCol w:w="1567"/>
        <w:gridCol w:w="1280"/>
        <w:gridCol w:w="276"/>
        <w:gridCol w:w="1480"/>
        <w:gridCol w:w="1481"/>
      </w:tblGrid>
      <w:tr w:rsidR="00BE303F" w:rsidRPr="001E52FE" w14:paraId="6A0D909F" w14:textId="77777777" w:rsidTr="003845AB">
        <w:trPr>
          <w:trHeight w:val="310"/>
        </w:trPr>
        <w:tc>
          <w:tcPr>
            <w:tcW w:w="960" w:type="dxa"/>
            <w:tcBorders>
              <w:top w:val="single" w:sz="4" w:space="0" w:color="auto"/>
              <w:left w:val="nil"/>
              <w:bottom w:val="nil"/>
              <w:right w:val="nil"/>
            </w:tcBorders>
            <w:shd w:val="clear" w:color="auto" w:fill="auto"/>
            <w:noWrap/>
            <w:vAlign w:val="center"/>
            <w:hideMark/>
          </w:tcPr>
          <w:p w14:paraId="76659F64" w14:textId="77777777" w:rsidR="00BE303F" w:rsidRPr="001E52FE" w:rsidRDefault="00BE303F" w:rsidP="00BE303F">
            <w:pPr>
              <w:rPr>
                <w:rFonts w:eastAsia="Times New Roman" w:cs="Times New Roman"/>
                <w:sz w:val="20"/>
                <w:szCs w:val="24"/>
              </w:rPr>
            </w:pPr>
          </w:p>
        </w:tc>
        <w:tc>
          <w:tcPr>
            <w:tcW w:w="1560" w:type="dxa"/>
            <w:tcBorders>
              <w:top w:val="single" w:sz="4" w:space="0" w:color="auto"/>
              <w:left w:val="nil"/>
              <w:bottom w:val="nil"/>
              <w:right w:val="nil"/>
            </w:tcBorders>
            <w:shd w:val="clear" w:color="auto" w:fill="auto"/>
            <w:noWrap/>
            <w:vAlign w:val="bottom"/>
            <w:hideMark/>
          </w:tcPr>
          <w:p w14:paraId="33A0B1AB" w14:textId="77777777" w:rsidR="00BE303F" w:rsidRPr="001E52FE" w:rsidRDefault="00BE303F" w:rsidP="00BE303F">
            <w:pPr>
              <w:rPr>
                <w:rFonts w:eastAsia="Times New Roman" w:cs="Times New Roman"/>
                <w:sz w:val="20"/>
                <w:szCs w:val="20"/>
              </w:rPr>
            </w:pPr>
          </w:p>
        </w:tc>
        <w:tc>
          <w:tcPr>
            <w:tcW w:w="6079" w:type="dxa"/>
            <w:gridSpan w:val="5"/>
            <w:tcBorders>
              <w:top w:val="single" w:sz="4" w:space="0" w:color="auto"/>
              <w:left w:val="nil"/>
              <w:bottom w:val="single" w:sz="4" w:space="0" w:color="auto"/>
              <w:right w:val="nil"/>
            </w:tcBorders>
            <w:shd w:val="clear" w:color="auto" w:fill="auto"/>
            <w:noWrap/>
            <w:vAlign w:val="center"/>
            <w:hideMark/>
          </w:tcPr>
          <w:p w14:paraId="36CCCE27"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Endogenous Variables</w:t>
            </w:r>
          </w:p>
        </w:tc>
      </w:tr>
      <w:tr w:rsidR="00BE303F" w:rsidRPr="001E52FE" w14:paraId="03BC3870" w14:textId="77777777" w:rsidTr="003845AB">
        <w:trPr>
          <w:trHeight w:val="290"/>
        </w:trPr>
        <w:tc>
          <w:tcPr>
            <w:tcW w:w="960" w:type="dxa"/>
            <w:tcBorders>
              <w:top w:val="nil"/>
              <w:left w:val="nil"/>
              <w:bottom w:val="nil"/>
              <w:right w:val="nil"/>
            </w:tcBorders>
            <w:shd w:val="clear" w:color="auto" w:fill="auto"/>
            <w:noWrap/>
            <w:vAlign w:val="bottom"/>
            <w:hideMark/>
          </w:tcPr>
          <w:p w14:paraId="25721787" w14:textId="77777777" w:rsidR="00BE303F" w:rsidRPr="001E52FE" w:rsidRDefault="00BE303F" w:rsidP="00BE303F">
            <w:pPr>
              <w:jc w:val="center"/>
              <w:rPr>
                <w:rFonts w:eastAsia="Times New Roman" w:cs="Times New Roman"/>
                <w:color w:val="000000"/>
                <w:szCs w:val="24"/>
              </w:rPr>
            </w:pPr>
          </w:p>
        </w:tc>
        <w:tc>
          <w:tcPr>
            <w:tcW w:w="1560" w:type="dxa"/>
            <w:tcBorders>
              <w:top w:val="nil"/>
              <w:left w:val="nil"/>
              <w:bottom w:val="nil"/>
              <w:right w:val="nil"/>
            </w:tcBorders>
            <w:shd w:val="clear" w:color="auto" w:fill="auto"/>
            <w:noWrap/>
            <w:vAlign w:val="center"/>
            <w:hideMark/>
          </w:tcPr>
          <w:p w14:paraId="24FD61DF" w14:textId="77777777" w:rsidR="00BE303F" w:rsidRPr="001E52FE" w:rsidRDefault="00BE303F" w:rsidP="00BE303F">
            <w:pPr>
              <w:jc w:val="center"/>
              <w:rPr>
                <w:rFonts w:eastAsia="Times New Roman" w:cs="Times New Roman"/>
                <w:sz w:val="20"/>
                <w:szCs w:val="20"/>
              </w:rPr>
            </w:pPr>
          </w:p>
        </w:tc>
        <w:tc>
          <w:tcPr>
            <w:tcW w:w="1562" w:type="dxa"/>
            <w:tcBorders>
              <w:top w:val="nil"/>
              <w:left w:val="nil"/>
              <w:bottom w:val="nil"/>
              <w:right w:val="nil"/>
            </w:tcBorders>
            <w:shd w:val="clear" w:color="auto" w:fill="auto"/>
            <w:vAlign w:val="center"/>
            <w:hideMark/>
          </w:tcPr>
          <w:p w14:paraId="27A07AF6" w14:textId="77777777" w:rsidR="00BE303F" w:rsidRPr="001E52FE" w:rsidRDefault="00BE303F" w:rsidP="00BE303F">
            <w:pPr>
              <w:jc w:val="center"/>
              <w:rPr>
                <w:rFonts w:eastAsia="Times New Roman" w:cs="Times New Roman"/>
                <w:color w:val="000000"/>
                <w:sz w:val="22"/>
                <w:u w:val="single"/>
              </w:rPr>
            </w:pPr>
            <w:proofErr w:type="spellStart"/>
            <w:r w:rsidRPr="001E52FE">
              <w:rPr>
                <w:rFonts w:eastAsia="Times New Roman" w:cs="Times New Roman"/>
                <w:color w:val="000000"/>
                <w:sz w:val="22"/>
                <w:u w:val="single"/>
              </w:rPr>
              <w:t>AAdvQual</w:t>
            </w:r>
            <w:proofErr w:type="spellEnd"/>
          </w:p>
        </w:tc>
        <w:tc>
          <w:tcPr>
            <w:tcW w:w="1280" w:type="dxa"/>
            <w:tcBorders>
              <w:top w:val="nil"/>
              <w:left w:val="nil"/>
              <w:bottom w:val="nil"/>
              <w:right w:val="nil"/>
            </w:tcBorders>
            <w:shd w:val="clear" w:color="auto" w:fill="auto"/>
            <w:vAlign w:val="center"/>
            <w:hideMark/>
          </w:tcPr>
          <w:p w14:paraId="5299E5C4" w14:textId="77777777" w:rsidR="00BE303F" w:rsidRPr="001E52FE" w:rsidRDefault="00BE303F" w:rsidP="00BE303F">
            <w:pPr>
              <w:jc w:val="center"/>
              <w:rPr>
                <w:rFonts w:eastAsia="Times New Roman" w:cs="Times New Roman"/>
                <w:color w:val="000000"/>
                <w:sz w:val="22"/>
                <w:u w:val="single"/>
              </w:rPr>
            </w:pPr>
            <w:proofErr w:type="spellStart"/>
            <w:r w:rsidRPr="001E52FE">
              <w:rPr>
                <w:rFonts w:eastAsia="Times New Roman" w:cs="Times New Roman"/>
                <w:color w:val="000000"/>
                <w:sz w:val="22"/>
                <w:u w:val="single"/>
              </w:rPr>
              <w:t>RAdvQual</w:t>
            </w:r>
            <w:proofErr w:type="spellEnd"/>
          </w:p>
        </w:tc>
        <w:tc>
          <w:tcPr>
            <w:tcW w:w="276" w:type="dxa"/>
            <w:tcBorders>
              <w:top w:val="nil"/>
              <w:left w:val="nil"/>
              <w:bottom w:val="nil"/>
              <w:right w:val="nil"/>
            </w:tcBorders>
            <w:shd w:val="clear" w:color="auto" w:fill="auto"/>
            <w:noWrap/>
            <w:vAlign w:val="center"/>
            <w:hideMark/>
          </w:tcPr>
          <w:p w14:paraId="75106518" w14:textId="77777777" w:rsidR="00BE303F" w:rsidRPr="001E52FE" w:rsidRDefault="00BE303F" w:rsidP="00BE303F">
            <w:pPr>
              <w:jc w:val="center"/>
              <w:rPr>
                <w:rFonts w:eastAsia="Times New Roman" w:cs="Times New Roman"/>
                <w:color w:val="000000"/>
                <w:sz w:val="22"/>
                <w:u w:val="single"/>
              </w:rPr>
            </w:pPr>
          </w:p>
        </w:tc>
        <w:tc>
          <w:tcPr>
            <w:tcW w:w="1480" w:type="dxa"/>
            <w:tcBorders>
              <w:top w:val="nil"/>
              <w:left w:val="nil"/>
              <w:bottom w:val="nil"/>
              <w:right w:val="nil"/>
            </w:tcBorders>
            <w:shd w:val="clear" w:color="auto" w:fill="auto"/>
            <w:noWrap/>
            <w:vAlign w:val="center"/>
            <w:hideMark/>
          </w:tcPr>
          <w:p w14:paraId="11034235" w14:textId="77777777" w:rsidR="00BE303F" w:rsidRPr="001E52FE" w:rsidRDefault="00BE303F" w:rsidP="00BE303F">
            <w:pPr>
              <w:jc w:val="center"/>
              <w:rPr>
                <w:rFonts w:eastAsia="Times New Roman" w:cs="Times New Roman"/>
                <w:color w:val="000000"/>
                <w:sz w:val="22"/>
                <w:u w:val="single"/>
              </w:rPr>
            </w:pPr>
            <w:proofErr w:type="spellStart"/>
            <w:r w:rsidRPr="001E52FE">
              <w:rPr>
                <w:rFonts w:eastAsia="Times New Roman" w:cs="Times New Roman"/>
                <w:color w:val="000000"/>
                <w:sz w:val="22"/>
                <w:u w:val="single"/>
              </w:rPr>
              <w:t>AConvSat</w:t>
            </w:r>
            <w:proofErr w:type="spellEnd"/>
          </w:p>
        </w:tc>
        <w:tc>
          <w:tcPr>
            <w:tcW w:w="1481" w:type="dxa"/>
            <w:tcBorders>
              <w:top w:val="nil"/>
              <w:left w:val="nil"/>
              <w:bottom w:val="nil"/>
              <w:right w:val="nil"/>
            </w:tcBorders>
            <w:shd w:val="clear" w:color="auto" w:fill="auto"/>
            <w:noWrap/>
            <w:vAlign w:val="center"/>
            <w:hideMark/>
          </w:tcPr>
          <w:p w14:paraId="450FA1BA" w14:textId="77777777" w:rsidR="00BE303F" w:rsidRPr="001E52FE" w:rsidRDefault="00BE303F" w:rsidP="00BE303F">
            <w:pPr>
              <w:jc w:val="center"/>
              <w:rPr>
                <w:rFonts w:eastAsia="Times New Roman" w:cs="Times New Roman"/>
                <w:color w:val="000000"/>
                <w:sz w:val="22"/>
                <w:u w:val="single"/>
              </w:rPr>
            </w:pPr>
            <w:proofErr w:type="spellStart"/>
            <w:r w:rsidRPr="001E52FE">
              <w:rPr>
                <w:rFonts w:eastAsia="Times New Roman" w:cs="Times New Roman"/>
                <w:color w:val="000000"/>
                <w:sz w:val="22"/>
                <w:u w:val="single"/>
              </w:rPr>
              <w:t>RConvSat</w:t>
            </w:r>
            <w:proofErr w:type="spellEnd"/>
          </w:p>
        </w:tc>
      </w:tr>
      <w:tr w:rsidR="00BE303F" w:rsidRPr="001E52FE" w14:paraId="4F6D56B6" w14:textId="77777777" w:rsidTr="003845AB">
        <w:trPr>
          <w:trHeight w:val="290"/>
        </w:trPr>
        <w:tc>
          <w:tcPr>
            <w:tcW w:w="4087" w:type="dxa"/>
            <w:gridSpan w:val="3"/>
            <w:tcBorders>
              <w:top w:val="nil"/>
              <w:left w:val="nil"/>
              <w:bottom w:val="nil"/>
              <w:right w:val="nil"/>
            </w:tcBorders>
            <w:shd w:val="clear" w:color="auto" w:fill="auto"/>
            <w:noWrap/>
            <w:vAlign w:val="bottom"/>
            <w:hideMark/>
          </w:tcPr>
          <w:p w14:paraId="66CDC853" w14:textId="77777777" w:rsidR="00BE303F" w:rsidRPr="001E52FE" w:rsidRDefault="00BE303F" w:rsidP="00BE303F">
            <w:pPr>
              <w:rPr>
                <w:rFonts w:eastAsia="Times New Roman" w:cs="Times New Roman"/>
                <w:i/>
                <w:iCs/>
                <w:color w:val="000000"/>
                <w:sz w:val="22"/>
                <w:u w:val="single"/>
              </w:rPr>
            </w:pPr>
            <w:r w:rsidRPr="001E52FE">
              <w:rPr>
                <w:rFonts w:eastAsia="Times New Roman" w:cs="Times New Roman"/>
                <w:i/>
                <w:iCs/>
                <w:color w:val="000000"/>
                <w:sz w:val="22"/>
                <w:u w:val="single"/>
              </w:rPr>
              <w:t>Relational Characteristics</w:t>
            </w:r>
          </w:p>
        </w:tc>
        <w:tc>
          <w:tcPr>
            <w:tcW w:w="1280" w:type="dxa"/>
            <w:tcBorders>
              <w:top w:val="nil"/>
              <w:left w:val="nil"/>
              <w:bottom w:val="nil"/>
              <w:right w:val="nil"/>
            </w:tcBorders>
            <w:shd w:val="clear" w:color="auto" w:fill="auto"/>
            <w:noWrap/>
            <w:vAlign w:val="center"/>
            <w:hideMark/>
          </w:tcPr>
          <w:p w14:paraId="7F8AF55C" w14:textId="77777777" w:rsidR="00BE303F" w:rsidRPr="001E52FE" w:rsidRDefault="00BE303F" w:rsidP="00BE303F">
            <w:pPr>
              <w:rPr>
                <w:rFonts w:eastAsia="Times New Roman" w:cs="Times New Roman"/>
                <w:i/>
                <w:iCs/>
                <w:color w:val="000000"/>
                <w:sz w:val="22"/>
                <w:u w:val="single"/>
              </w:rPr>
            </w:pPr>
          </w:p>
        </w:tc>
        <w:tc>
          <w:tcPr>
            <w:tcW w:w="276" w:type="dxa"/>
            <w:tcBorders>
              <w:top w:val="nil"/>
              <w:left w:val="nil"/>
              <w:bottom w:val="nil"/>
              <w:right w:val="nil"/>
            </w:tcBorders>
            <w:shd w:val="clear" w:color="auto" w:fill="auto"/>
            <w:noWrap/>
            <w:vAlign w:val="center"/>
            <w:hideMark/>
          </w:tcPr>
          <w:p w14:paraId="10F3C921" w14:textId="77777777" w:rsidR="00BE303F" w:rsidRPr="001E52FE" w:rsidRDefault="00BE303F" w:rsidP="00BE303F">
            <w:pPr>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center"/>
            <w:hideMark/>
          </w:tcPr>
          <w:p w14:paraId="7377B075" w14:textId="77777777" w:rsidR="00BE303F" w:rsidRPr="001E52FE" w:rsidRDefault="00BE303F" w:rsidP="00BE303F">
            <w:pPr>
              <w:jc w:val="center"/>
              <w:rPr>
                <w:rFonts w:eastAsia="Times New Roman" w:cs="Times New Roman"/>
                <w:sz w:val="20"/>
                <w:szCs w:val="20"/>
              </w:rPr>
            </w:pPr>
          </w:p>
        </w:tc>
        <w:tc>
          <w:tcPr>
            <w:tcW w:w="1481" w:type="dxa"/>
            <w:tcBorders>
              <w:top w:val="nil"/>
              <w:left w:val="nil"/>
              <w:bottom w:val="nil"/>
              <w:right w:val="nil"/>
            </w:tcBorders>
            <w:shd w:val="clear" w:color="auto" w:fill="auto"/>
            <w:noWrap/>
            <w:vAlign w:val="center"/>
            <w:hideMark/>
          </w:tcPr>
          <w:p w14:paraId="51B95E8E" w14:textId="77777777" w:rsidR="00BE303F" w:rsidRPr="001E52FE" w:rsidRDefault="00BE303F" w:rsidP="00BE303F">
            <w:pPr>
              <w:jc w:val="center"/>
              <w:rPr>
                <w:rFonts w:eastAsia="Times New Roman" w:cs="Times New Roman"/>
                <w:sz w:val="20"/>
                <w:szCs w:val="20"/>
              </w:rPr>
            </w:pPr>
          </w:p>
        </w:tc>
      </w:tr>
      <w:tr w:rsidR="00BE303F" w:rsidRPr="001E52FE" w14:paraId="07F4C6BC" w14:textId="77777777" w:rsidTr="003845AB">
        <w:trPr>
          <w:trHeight w:val="310"/>
        </w:trPr>
        <w:tc>
          <w:tcPr>
            <w:tcW w:w="960" w:type="dxa"/>
            <w:tcBorders>
              <w:top w:val="nil"/>
              <w:left w:val="nil"/>
              <w:bottom w:val="nil"/>
              <w:right w:val="nil"/>
            </w:tcBorders>
            <w:shd w:val="clear" w:color="auto" w:fill="auto"/>
            <w:noWrap/>
            <w:vAlign w:val="bottom"/>
            <w:hideMark/>
          </w:tcPr>
          <w:p w14:paraId="30A457E3" w14:textId="77777777" w:rsidR="00BE303F" w:rsidRPr="001E52FE" w:rsidRDefault="00BE303F" w:rsidP="00BE303F">
            <w:pPr>
              <w:jc w:val="center"/>
              <w:rPr>
                <w:rFonts w:eastAsia="Times New Roman" w:cs="Times New Roman"/>
                <w:sz w:val="20"/>
                <w:szCs w:val="20"/>
              </w:rPr>
            </w:pPr>
          </w:p>
        </w:tc>
        <w:tc>
          <w:tcPr>
            <w:tcW w:w="1560" w:type="dxa"/>
            <w:tcBorders>
              <w:top w:val="nil"/>
              <w:left w:val="nil"/>
              <w:bottom w:val="nil"/>
              <w:right w:val="nil"/>
            </w:tcBorders>
            <w:shd w:val="clear" w:color="000000" w:fill="D9D9D9"/>
            <w:vAlign w:val="center"/>
            <w:hideMark/>
          </w:tcPr>
          <w:p w14:paraId="2BCC7C27" w14:textId="77777777" w:rsidR="00BE303F" w:rsidRPr="001E52FE" w:rsidRDefault="00BE303F" w:rsidP="00BE303F">
            <w:pPr>
              <w:rPr>
                <w:rFonts w:eastAsia="Times New Roman" w:cs="Times New Roman"/>
                <w:color w:val="000000"/>
                <w:sz w:val="22"/>
              </w:rPr>
            </w:pPr>
            <w:proofErr w:type="spellStart"/>
            <w:r w:rsidRPr="001E52FE">
              <w:rPr>
                <w:rFonts w:eastAsia="Times New Roman" w:cs="Times New Roman"/>
                <w:color w:val="000000"/>
                <w:sz w:val="22"/>
              </w:rPr>
              <w:t>APartnerChar</w:t>
            </w:r>
            <w:proofErr w:type="spellEnd"/>
          </w:p>
        </w:tc>
        <w:tc>
          <w:tcPr>
            <w:tcW w:w="1562" w:type="dxa"/>
            <w:tcBorders>
              <w:top w:val="nil"/>
              <w:left w:val="nil"/>
              <w:bottom w:val="nil"/>
              <w:right w:val="nil"/>
            </w:tcBorders>
            <w:shd w:val="clear" w:color="000000" w:fill="D9D9D9"/>
            <w:noWrap/>
            <w:vAlign w:val="bottom"/>
            <w:hideMark/>
          </w:tcPr>
          <w:p w14:paraId="5EC3B218"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.15(.11)</w:t>
            </w:r>
          </w:p>
        </w:tc>
        <w:tc>
          <w:tcPr>
            <w:tcW w:w="1280" w:type="dxa"/>
            <w:tcBorders>
              <w:top w:val="nil"/>
              <w:left w:val="nil"/>
              <w:bottom w:val="nil"/>
              <w:right w:val="nil"/>
            </w:tcBorders>
            <w:shd w:val="clear" w:color="000000" w:fill="D9D9D9"/>
            <w:noWrap/>
            <w:vAlign w:val="bottom"/>
            <w:hideMark/>
          </w:tcPr>
          <w:p w14:paraId="149418F7"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-.30**(.11)</w:t>
            </w:r>
          </w:p>
        </w:tc>
        <w:tc>
          <w:tcPr>
            <w:tcW w:w="276" w:type="dxa"/>
            <w:tcBorders>
              <w:top w:val="nil"/>
              <w:left w:val="nil"/>
              <w:bottom w:val="nil"/>
              <w:right w:val="nil"/>
            </w:tcBorders>
            <w:shd w:val="clear" w:color="000000" w:fill="D9D9D9"/>
            <w:vAlign w:val="center"/>
            <w:hideMark/>
          </w:tcPr>
          <w:p w14:paraId="108E71D5"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 </w:t>
            </w:r>
          </w:p>
        </w:tc>
        <w:tc>
          <w:tcPr>
            <w:tcW w:w="1480" w:type="dxa"/>
            <w:tcBorders>
              <w:top w:val="nil"/>
              <w:left w:val="nil"/>
              <w:bottom w:val="nil"/>
              <w:right w:val="nil"/>
            </w:tcBorders>
            <w:shd w:val="clear" w:color="000000" w:fill="D9D9D9"/>
            <w:noWrap/>
            <w:vAlign w:val="bottom"/>
            <w:hideMark/>
          </w:tcPr>
          <w:p w14:paraId="43B1B166"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.12(.09)</w:t>
            </w:r>
          </w:p>
        </w:tc>
        <w:tc>
          <w:tcPr>
            <w:tcW w:w="1481" w:type="dxa"/>
            <w:tcBorders>
              <w:top w:val="nil"/>
              <w:left w:val="nil"/>
              <w:bottom w:val="nil"/>
              <w:right w:val="nil"/>
            </w:tcBorders>
            <w:shd w:val="clear" w:color="000000" w:fill="D9D9D9"/>
            <w:vAlign w:val="center"/>
            <w:hideMark/>
          </w:tcPr>
          <w:p w14:paraId="12EF78AA"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w:t>
            </w:r>
          </w:p>
        </w:tc>
      </w:tr>
      <w:tr w:rsidR="00BE303F" w:rsidRPr="001E52FE" w14:paraId="328642FD" w14:textId="77777777" w:rsidTr="003845AB">
        <w:trPr>
          <w:trHeight w:val="310"/>
        </w:trPr>
        <w:tc>
          <w:tcPr>
            <w:tcW w:w="960" w:type="dxa"/>
            <w:tcBorders>
              <w:top w:val="nil"/>
              <w:left w:val="nil"/>
              <w:bottom w:val="nil"/>
              <w:right w:val="nil"/>
            </w:tcBorders>
            <w:shd w:val="clear" w:color="auto" w:fill="auto"/>
            <w:noWrap/>
            <w:vAlign w:val="bottom"/>
            <w:hideMark/>
          </w:tcPr>
          <w:p w14:paraId="5478DDE2" w14:textId="77777777" w:rsidR="00BE303F" w:rsidRPr="001E52FE" w:rsidRDefault="00BE303F" w:rsidP="00BE303F">
            <w:pPr>
              <w:jc w:val="center"/>
              <w:rPr>
                <w:rFonts w:eastAsia="Times New Roman" w:cs="Times New Roman"/>
                <w:color w:val="000000"/>
                <w:szCs w:val="24"/>
              </w:rPr>
            </w:pPr>
          </w:p>
        </w:tc>
        <w:tc>
          <w:tcPr>
            <w:tcW w:w="1560" w:type="dxa"/>
            <w:tcBorders>
              <w:top w:val="nil"/>
              <w:left w:val="nil"/>
              <w:bottom w:val="nil"/>
              <w:right w:val="nil"/>
            </w:tcBorders>
            <w:shd w:val="clear" w:color="000000" w:fill="D9D9D9"/>
            <w:vAlign w:val="center"/>
            <w:hideMark/>
          </w:tcPr>
          <w:p w14:paraId="3BE4FACC" w14:textId="77777777" w:rsidR="00BE303F" w:rsidRPr="001E52FE" w:rsidRDefault="00BE303F" w:rsidP="00BE303F">
            <w:pPr>
              <w:rPr>
                <w:rFonts w:eastAsia="Times New Roman" w:cs="Times New Roman"/>
                <w:color w:val="000000"/>
                <w:sz w:val="22"/>
              </w:rPr>
            </w:pPr>
            <w:proofErr w:type="spellStart"/>
            <w:r w:rsidRPr="001E52FE">
              <w:rPr>
                <w:rFonts w:eastAsia="Times New Roman" w:cs="Times New Roman"/>
                <w:color w:val="000000"/>
                <w:sz w:val="22"/>
              </w:rPr>
              <w:t>AIntdpd</w:t>
            </w:r>
            <w:proofErr w:type="spellEnd"/>
          </w:p>
        </w:tc>
        <w:tc>
          <w:tcPr>
            <w:tcW w:w="1562" w:type="dxa"/>
            <w:tcBorders>
              <w:top w:val="nil"/>
              <w:left w:val="nil"/>
              <w:bottom w:val="nil"/>
              <w:right w:val="nil"/>
            </w:tcBorders>
            <w:shd w:val="clear" w:color="000000" w:fill="D9D9D9"/>
            <w:noWrap/>
            <w:vAlign w:val="bottom"/>
            <w:hideMark/>
          </w:tcPr>
          <w:p w14:paraId="5A7639D3"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-.11(.08)</w:t>
            </w:r>
          </w:p>
        </w:tc>
        <w:tc>
          <w:tcPr>
            <w:tcW w:w="1280" w:type="dxa"/>
            <w:tcBorders>
              <w:top w:val="nil"/>
              <w:left w:val="nil"/>
              <w:bottom w:val="nil"/>
              <w:right w:val="nil"/>
            </w:tcBorders>
            <w:shd w:val="clear" w:color="000000" w:fill="D9D9D9"/>
            <w:noWrap/>
            <w:vAlign w:val="bottom"/>
            <w:hideMark/>
          </w:tcPr>
          <w:p w14:paraId="04954C11" w14:textId="77777777" w:rsidR="00BE303F" w:rsidRPr="001E52FE" w:rsidRDefault="00BE303F" w:rsidP="00BE303F">
            <w:pPr>
              <w:jc w:val="center"/>
              <w:rPr>
                <w:rFonts w:eastAsia="Times New Roman" w:cs="Times New Roman"/>
                <w:b/>
                <w:bCs/>
                <w:color w:val="000000"/>
                <w:sz w:val="22"/>
              </w:rPr>
            </w:pPr>
            <w:r w:rsidRPr="001E52FE">
              <w:rPr>
                <w:rFonts w:eastAsia="Times New Roman" w:cs="Times New Roman"/>
                <w:b/>
                <w:bCs/>
                <w:color w:val="000000"/>
                <w:sz w:val="22"/>
              </w:rPr>
              <w:t>-.23*(.09)</w:t>
            </w:r>
          </w:p>
        </w:tc>
        <w:tc>
          <w:tcPr>
            <w:tcW w:w="276" w:type="dxa"/>
            <w:tcBorders>
              <w:top w:val="nil"/>
              <w:left w:val="nil"/>
              <w:bottom w:val="nil"/>
              <w:right w:val="nil"/>
            </w:tcBorders>
            <w:shd w:val="clear" w:color="000000" w:fill="D9D9D9"/>
            <w:vAlign w:val="center"/>
            <w:hideMark/>
          </w:tcPr>
          <w:p w14:paraId="6E93D7AE"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 </w:t>
            </w:r>
          </w:p>
        </w:tc>
        <w:tc>
          <w:tcPr>
            <w:tcW w:w="1480" w:type="dxa"/>
            <w:tcBorders>
              <w:top w:val="nil"/>
              <w:left w:val="nil"/>
              <w:bottom w:val="nil"/>
              <w:right w:val="nil"/>
            </w:tcBorders>
            <w:shd w:val="clear" w:color="000000" w:fill="D9D9D9"/>
            <w:noWrap/>
            <w:vAlign w:val="bottom"/>
            <w:hideMark/>
          </w:tcPr>
          <w:p w14:paraId="38C60E32"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-.10(.07)</w:t>
            </w:r>
          </w:p>
        </w:tc>
        <w:tc>
          <w:tcPr>
            <w:tcW w:w="1481" w:type="dxa"/>
            <w:tcBorders>
              <w:top w:val="nil"/>
              <w:left w:val="nil"/>
              <w:bottom w:val="nil"/>
              <w:right w:val="nil"/>
            </w:tcBorders>
            <w:shd w:val="clear" w:color="000000" w:fill="D9D9D9"/>
            <w:vAlign w:val="center"/>
            <w:hideMark/>
          </w:tcPr>
          <w:p w14:paraId="211B61DE"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 </w:t>
            </w:r>
          </w:p>
        </w:tc>
      </w:tr>
      <w:tr w:rsidR="00BE303F" w:rsidRPr="001E52FE" w14:paraId="64873E25" w14:textId="77777777" w:rsidTr="003845AB">
        <w:trPr>
          <w:trHeight w:val="310"/>
        </w:trPr>
        <w:tc>
          <w:tcPr>
            <w:tcW w:w="960" w:type="dxa"/>
            <w:tcBorders>
              <w:top w:val="nil"/>
              <w:left w:val="nil"/>
              <w:bottom w:val="nil"/>
              <w:right w:val="nil"/>
            </w:tcBorders>
            <w:shd w:val="clear" w:color="auto" w:fill="auto"/>
            <w:noWrap/>
            <w:vAlign w:val="bottom"/>
            <w:hideMark/>
          </w:tcPr>
          <w:p w14:paraId="63C4A65F" w14:textId="77777777" w:rsidR="00BE303F" w:rsidRPr="001E52FE" w:rsidRDefault="00BE303F" w:rsidP="00BE303F">
            <w:pPr>
              <w:jc w:val="center"/>
              <w:rPr>
                <w:rFonts w:eastAsia="Times New Roman" w:cs="Times New Roman"/>
                <w:color w:val="000000"/>
                <w:szCs w:val="24"/>
              </w:rPr>
            </w:pPr>
          </w:p>
        </w:tc>
        <w:tc>
          <w:tcPr>
            <w:tcW w:w="1560" w:type="dxa"/>
            <w:tcBorders>
              <w:top w:val="nil"/>
              <w:left w:val="nil"/>
              <w:bottom w:val="nil"/>
              <w:right w:val="nil"/>
            </w:tcBorders>
            <w:shd w:val="clear" w:color="000000" w:fill="D9D9D9"/>
            <w:vAlign w:val="center"/>
            <w:hideMark/>
          </w:tcPr>
          <w:p w14:paraId="0A2F68C6" w14:textId="77777777" w:rsidR="00BE303F" w:rsidRPr="001E52FE" w:rsidRDefault="00BE303F" w:rsidP="00BE303F">
            <w:pPr>
              <w:rPr>
                <w:rFonts w:eastAsia="Times New Roman" w:cs="Times New Roman"/>
                <w:color w:val="000000"/>
                <w:sz w:val="22"/>
              </w:rPr>
            </w:pPr>
            <w:proofErr w:type="spellStart"/>
            <w:r w:rsidRPr="001E52FE">
              <w:rPr>
                <w:rFonts w:eastAsia="Times New Roman" w:cs="Times New Roman"/>
                <w:color w:val="000000"/>
                <w:sz w:val="22"/>
              </w:rPr>
              <w:t>ACloseness</w:t>
            </w:r>
            <w:proofErr w:type="spellEnd"/>
          </w:p>
        </w:tc>
        <w:tc>
          <w:tcPr>
            <w:tcW w:w="1562" w:type="dxa"/>
            <w:tcBorders>
              <w:top w:val="nil"/>
              <w:left w:val="nil"/>
              <w:bottom w:val="nil"/>
              <w:right w:val="nil"/>
            </w:tcBorders>
            <w:shd w:val="clear" w:color="000000" w:fill="D9D9D9"/>
            <w:noWrap/>
            <w:vAlign w:val="bottom"/>
            <w:hideMark/>
          </w:tcPr>
          <w:p w14:paraId="57D33ABC"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-.04(.09)</w:t>
            </w:r>
          </w:p>
        </w:tc>
        <w:tc>
          <w:tcPr>
            <w:tcW w:w="1280" w:type="dxa"/>
            <w:tcBorders>
              <w:top w:val="nil"/>
              <w:left w:val="nil"/>
              <w:bottom w:val="nil"/>
              <w:right w:val="nil"/>
            </w:tcBorders>
            <w:shd w:val="clear" w:color="000000" w:fill="D9D9D9"/>
            <w:noWrap/>
            <w:vAlign w:val="bottom"/>
            <w:hideMark/>
          </w:tcPr>
          <w:p w14:paraId="5D813116"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.08(.09)</w:t>
            </w:r>
          </w:p>
        </w:tc>
        <w:tc>
          <w:tcPr>
            <w:tcW w:w="276" w:type="dxa"/>
            <w:tcBorders>
              <w:top w:val="nil"/>
              <w:left w:val="nil"/>
              <w:bottom w:val="nil"/>
              <w:right w:val="nil"/>
            </w:tcBorders>
            <w:shd w:val="clear" w:color="000000" w:fill="D9D9D9"/>
            <w:vAlign w:val="center"/>
            <w:hideMark/>
          </w:tcPr>
          <w:p w14:paraId="4044FD52"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 </w:t>
            </w:r>
          </w:p>
        </w:tc>
        <w:tc>
          <w:tcPr>
            <w:tcW w:w="1480" w:type="dxa"/>
            <w:tcBorders>
              <w:top w:val="nil"/>
              <w:left w:val="nil"/>
              <w:bottom w:val="nil"/>
              <w:right w:val="nil"/>
            </w:tcBorders>
            <w:shd w:val="clear" w:color="000000" w:fill="D9D9D9"/>
            <w:noWrap/>
            <w:vAlign w:val="bottom"/>
            <w:hideMark/>
          </w:tcPr>
          <w:p w14:paraId="31B714F2" w14:textId="77777777" w:rsidR="00BE303F" w:rsidRPr="001E52FE" w:rsidRDefault="00BE303F" w:rsidP="00BE303F">
            <w:pPr>
              <w:jc w:val="center"/>
              <w:rPr>
                <w:rFonts w:eastAsia="Times New Roman" w:cs="Times New Roman"/>
                <w:b/>
                <w:bCs/>
                <w:color w:val="000000"/>
                <w:sz w:val="22"/>
              </w:rPr>
            </w:pPr>
            <w:r w:rsidRPr="001E52FE">
              <w:rPr>
                <w:rFonts w:eastAsia="Times New Roman" w:cs="Times New Roman"/>
                <w:b/>
                <w:bCs/>
                <w:color w:val="000000"/>
                <w:sz w:val="22"/>
              </w:rPr>
              <w:t>-.17</w:t>
            </w:r>
            <w:r w:rsidR="0001035C" w:rsidRPr="001E52FE">
              <w:rPr>
                <w:rFonts w:eastAsia="Times New Roman" w:cs="Times New Roman"/>
                <w:b/>
                <w:bCs/>
                <w:color w:val="000000"/>
                <w:sz w:val="22"/>
              </w:rPr>
              <w:t>†</w:t>
            </w:r>
            <w:r w:rsidRPr="001E52FE">
              <w:rPr>
                <w:rFonts w:eastAsia="Times New Roman" w:cs="Times New Roman"/>
                <w:b/>
                <w:bCs/>
                <w:color w:val="000000"/>
                <w:sz w:val="22"/>
              </w:rPr>
              <w:t>(.09)</w:t>
            </w:r>
          </w:p>
        </w:tc>
        <w:tc>
          <w:tcPr>
            <w:tcW w:w="1481" w:type="dxa"/>
            <w:tcBorders>
              <w:top w:val="nil"/>
              <w:left w:val="nil"/>
              <w:bottom w:val="nil"/>
              <w:right w:val="nil"/>
            </w:tcBorders>
            <w:shd w:val="clear" w:color="000000" w:fill="D9D9D9"/>
            <w:vAlign w:val="center"/>
            <w:hideMark/>
          </w:tcPr>
          <w:p w14:paraId="57AB5FCE"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 </w:t>
            </w:r>
          </w:p>
        </w:tc>
      </w:tr>
      <w:tr w:rsidR="00BE303F" w:rsidRPr="001E52FE" w14:paraId="05D64D73" w14:textId="77777777" w:rsidTr="003845AB">
        <w:trPr>
          <w:trHeight w:val="310"/>
        </w:trPr>
        <w:tc>
          <w:tcPr>
            <w:tcW w:w="960" w:type="dxa"/>
            <w:tcBorders>
              <w:top w:val="nil"/>
              <w:left w:val="nil"/>
              <w:bottom w:val="nil"/>
              <w:right w:val="nil"/>
            </w:tcBorders>
            <w:shd w:val="clear" w:color="auto" w:fill="auto"/>
            <w:noWrap/>
            <w:vAlign w:val="bottom"/>
            <w:hideMark/>
          </w:tcPr>
          <w:p w14:paraId="33680941" w14:textId="77777777" w:rsidR="00BE303F" w:rsidRPr="001E52FE" w:rsidRDefault="00BE303F" w:rsidP="00BE303F">
            <w:pPr>
              <w:jc w:val="center"/>
              <w:rPr>
                <w:rFonts w:eastAsia="Times New Roman" w:cs="Times New Roman"/>
                <w:color w:val="000000"/>
                <w:szCs w:val="24"/>
              </w:rPr>
            </w:pPr>
          </w:p>
        </w:tc>
        <w:tc>
          <w:tcPr>
            <w:tcW w:w="1560" w:type="dxa"/>
            <w:tcBorders>
              <w:top w:val="nil"/>
              <w:left w:val="nil"/>
              <w:bottom w:val="nil"/>
              <w:right w:val="nil"/>
            </w:tcBorders>
            <w:shd w:val="clear" w:color="000000" w:fill="D9D9D9"/>
            <w:vAlign w:val="center"/>
            <w:hideMark/>
          </w:tcPr>
          <w:p w14:paraId="3937C719" w14:textId="77777777" w:rsidR="00BE303F" w:rsidRPr="001E52FE" w:rsidRDefault="00BE303F" w:rsidP="00BE303F">
            <w:pPr>
              <w:rPr>
                <w:rFonts w:eastAsia="Times New Roman" w:cs="Times New Roman"/>
                <w:color w:val="000000"/>
                <w:sz w:val="22"/>
              </w:rPr>
            </w:pPr>
            <w:proofErr w:type="spellStart"/>
            <w:r w:rsidRPr="001E52FE">
              <w:rPr>
                <w:rFonts w:eastAsia="Times New Roman" w:cs="Times New Roman"/>
                <w:color w:val="000000"/>
                <w:sz w:val="22"/>
              </w:rPr>
              <w:t>ASupport</w:t>
            </w:r>
            <w:proofErr w:type="spellEnd"/>
          </w:p>
        </w:tc>
        <w:tc>
          <w:tcPr>
            <w:tcW w:w="1562" w:type="dxa"/>
            <w:tcBorders>
              <w:top w:val="nil"/>
              <w:left w:val="nil"/>
              <w:bottom w:val="nil"/>
              <w:right w:val="nil"/>
            </w:tcBorders>
            <w:shd w:val="clear" w:color="000000" w:fill="D9D9D9"/>
            <w:noWrap/>
            <w:vAlign w:val="bottom"/>
            <w:hideMark/>
          </w:tcPr>
          <w:p w14:paraId="2BDDE4AC"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.41***(.11)</w:t>
            </w:r>
          </w:p>
        </w:tc>
        <w:tc>
          <w:tcPr>
            <w:tcW w:w="1280" w:type="dxa"/>
            <w:tcBorders>
              <w:top w:val="nil"/>
              <w:left w:val="nil"/>
              <w:bottom w:val="nil"/>
              <w:right w:val="nil"/>
            </w:tcBorders>
            <w:shd w:val="clear" w:color="000000" w:fill="D9D9D9"/>
            <w:noWrap/>
            <w:vAlign w:val="bottom"/>
            <w:hideMark/>
          </w:tcPr>
          <w:p w14:paraId="7A9A651C"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-.09(.11)</w:t>
            </w:r>
          </w:p>
        </w:tc>
        <w:tc>
          <w:tcPr>
            <w:tcW w:w="276" w:type="dxa"/>
            <w:tcBorders>
              <w:top w:val="nil"/>
              <w:left w:val="nil"/>
              <w:bottom w:val="nil"/>
              <w:right w:val="nil"/>
            </w:tcBorders>
            <w:shd w:val="clear" w:color="000000" w:fill="D9D9D9"/>
            <w:vAlign w:val="center"/>
            <w:hideMark/>
          </w:tcPr>
          <w:p w14:paraId="1025E015"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 </w:t>
            </w:r>
          </w:p>
        </w:tc>
        <w:tc>
          <w:tcPr>
            <w:tcW w:w="1480" w:type="dxa"/>
            <w:tcBorders>
              <w:top w:val="nil"/>
              <w:left w:val="nil"/>
              <w:bottom w:val="nil"/>
              <w:right w:val="nil"/>
            </w:tcBorders>
            <w:shd w:val="clear" w:color="000000" w:fill="D9D9D9"/>
            <w:noWrap/>
            <w:vAlign w:val="bottom"/>
            <w:hideMark/>
          </w:tcPr>
          <w:p w14:paraId="18123151"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.26**(.10)</w:t>
            </w:r>
          </w:p>
        </w:tc>
        <w:tc>
          <w:tcPr>
            <w:tcW w:w="1481" w:type="dxa"/>
            <w:tcBorders>
              <w:top w:val="nil"/>
              <w:left w:val="nil"/>
              <w:bottom w:val="nil"/>
              <w:right w:val="nil"/>
            </w:tcBorders>
            <w:shd w:val="clear" w:color="000000" w:fill="D9D9D9"/>
            <w:vAlign w:val="center"/>
            <w:hideMark/>
          </w:tcPr>
          <w:p w14:paraId="0CFA9FEF"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w:t>
            </w:r>
          </w:p>
        </w:tc>
      </w:tr>
      <w:tr w:rsidR="00BE303F" w:rsidRPr="001E52FE" w14:paraId="53EFA791" w14:textId="77777777" w:rsidTr="003845AB">
        <w:trPr>
          <w:trHeight w:val="310"/>
        </w:trPr>
        <w:tc>
          <w:tcPr>
            <w:tcW w:w="960" w:type="dxa"/>
            <w:tcBorders>
              <w:top w:val="nil"/>
              <w:left w:val="nil"/>
              <w:bottom w:val="nil"/>
              <w:right w:val="nil"/>
            </w:tcBorders>
            <w:shd w:val="clear" w:color="auto" w:fill="auto"/>
            <w:noWrap/>
            <w:vAlign w:val="bottom"/>
            <w:hideMark/>
          </w:tcPr>
          <w:p w14:paraId="0965DC0B" w14:textId="77777777" w:rsidR="00BE303F" w:rsidRPr="001E52FE" w:rsidRDefault="00BE303F" w:rsidP="00BE303F">
            <w:pPr>
              <w:jc w:val="center"/>
              <w:rPr>
                <w:rFonts w:eastAsia="Times New Roman" w:cs="Times New Roman"/>
                <w:color w:val="000000"/>
                <w:szCs w:val="24"/>
              </w:rPr>
            </w:pPr>
          </w:p>
        </w:tc>
        <w:tc>
          <w:tcPr>
            <w:tcW w:w="1560" w:type="dxa"/>
            <w:tcBorders>
              <w:top w:val="nil"/>
              <w:left w:val="nil"/>
              <w:bottom w:val="nil"/>
              <w:right w:val="nil"/>
            </w:tcBorders>
            <w:shd w:val="clear" w:color="auto" w:fill="auto"/>
            <w:vAlign w:val="center"/>
            <w:hideMark/>
          </w:tcPr>
          <w:p w14:paraId="23B74C5E" w14:textId="77777777" w:rsidR="00BE303F" w:rsidRPr="001E52FE" w:rsidRDefault="00BE303F" w:rsidP="00BE303F">
            <w:pPr>
              <w:rPr>
                <w:rFonts w:eastAsia="Times New Roman" w:cs="Times New Roman"/>
                <w:color w:val="000000"/>
                <w:sz w:val="22"/>
              </w:rPr>
            </w:pPr>
            <w:proofErr w:type="spellStart"/>
            <w:r w:rsidRPr="001E52FE">
              <w:rPr>
                <w:rFonts w:eastAsia="Times New Roman" w:cs="Times New Roman"/>
                <w:color w:val="000000"/>
                <w:sz w:val="22"/>
              </w:rPr>
              <w:t>RPartnerChar</w:t>
            </w:r>
            <w:proofErr w:type="spellEnd"/>
          </w:p>
        </w:tc>
        <w:tc>
          <w:tcPr>
            <w:tcW w:w="1562" w:type="dxa"/>
            <w:tcBorders>
              <w:top w:val="nil"/>
              <w:left w:val="nil"/>
              <w:bottom w:val="nil"/>
              <w:right w:val="nil"/>
            </w:tcBorders>
            <w:shd w:val="clear" w:color="auto" w:fill="auto"/>
            <w:noWrap/>
            <w:vAlign w:val="bottom"/>
            <w:hideMark/>
          </w:tcPr>
          <w:p w14:paraId="49F978BB"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-.30**(.11)</w:t>
            </w:r>
          </w:p>
        </w:tc>
        <w:tc>
          <w:tcPr>
            <w:tcW w:w="1280" w:type="dxa"/>
            <w:tcBorders>
              <w:top w:val="nil"/>
              <w:left w:val="nil"/>
              <w:bottom w:val="nil"/>
              <w:right w:val="nil"/>
            </w:tcBorders>
            <w:shd w:val="clear" w:color="auto" w:fill="auto"/>
            <w:noWrap/>
            <w:vAlign w:val="bottom"/>
            <w:hideMark/>
          </w:tcPr>
          <w:p w14:paraId="02997BD3"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.15(.11)</w:t>
            </w:r>
          </w:p>
        </w:tc>
        <w:tc>
          <w:tcPr>
            <w:tcW w:w="276" w:type="dxa"/>
            <w:tcBorders>
              <w:top w:val="nil"/>
              <w:left w:val="nil"/>
              <w:bottom w:val="nil"/>
              <w:right w:val="nil"/>
            </w:tcBorders>
            <w:shd w:val="clear" w:color="auto" w:fill="auto"/>
            <w:vAlign w:val="center"/>
            <w:hideMark/>
          </w:tcPr>
          <w:p w14:paraId="552FF19E" w14:textId="77777777" w:rsidR="00BE303F" w:rsidRPr="001E52FE" w:rsidRDefault="00BE303F" w:rsidP="00BE303F">
            <w:pPr>
              <w:jc w:val="center"/>
              <w:rPr>
                <w:rFonts w:eastAsia="Times New Roman" w:cs="Times New Roman"/>
                <w:color w:val="000000"/>
                <w:sz w:val="22"/>
              </w:rPr>
            </w:pPr>
          </w:p>
        </w:tc>
        <w:tc>
          <w:tcPr>
            <w:tcW w:w="1480" w:type="dxa"/>
            <w:tcBorders>
              <w:top w:val="nil"/>
              <w:left w:val="nil"/>
              <w:bottom w:val="nil"/>
              <w:right w:val="nil"/>
            </w:tcBorders>
            <w:shd w:val="clear" w:color="auto" w:fill="auto"/>
            <w:vAlign w:val="center"/>
            <w:hideMark/>
          </w:tcPr>
          <w:p w14:paraId="2B551B6F"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w:t>
            </w:r>
          </w:p>
        </w:tc>
        <w:tc>
          <w:tcPr>
            <w:tcW w:w="1481" w:type="dxa"/>
            <w:tcBorders>
              <w:top w:val="nil"/>
              <w:left w:val="nil"/>
              <w:bottom w:val="nil"/>
              <w:right w:val="nil"/>
            </w:tcBorders>
            <w:shd w:val="clear" w:color="auto" w:fill="auto"/>
            <w:noWrap/>
            <w:vAlign w:val="bottom"/>
            <w:hideMark/>
          </w:tcPr>
          <w:p w14:paraId="7B0A446B"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.12(.09)</w:t>
            </w:r>
          </w:p>
        </w:tc>
      </w:tr>
      <w:tr w:rsidR="00BE303F" w:rsidRPr="001E52FE" w14:paraId="37CE1566" w14:textId="77777777" w:rsidTr="003845AB">
        <w:trPr>
          <w:trHeight w:val="310"/>
        </w:trPr>
        <w:tc>
          <w:tcPr>
            <w:tcW w:w="960" w:type="dxa"/>
            <w:tcBorders>
              <w:top w:val="nil"/>
              <w:left w:val="nil"/>
              <w:bottom w:val="nil"/>
              <w:right w:val="nil"/>
            </w:tcBorders>
            <w:shd w:val="clear" w:color="auto" w:fill="auto"/>
            <w:noWrap/>
            <w:vAlign w:val="bottom"/>
            <w:hideMark/>
          </w:tcPr>
          <w:p w14:paraId="2BFC58B1" w14:textId="77777777" w:rsidR="00BE303F" w:rsidRPr="001E52FE" w:rsidRDefault="00BE303F" w:rsidP="00BE303F">
            <w:pPr>
              <w:jc w:val="center"/>
              <w:rPr>
                <w:rFonts w:eastAsia="Times New Roman" w:cs="Times New Roman"/>
                <w:color w:val="000000"/>
                <w:sz w:val="22"/>
              </w:rPr>
            </w:pPr>
          </w:p>
        </w:tc>
        <w:tc>
          <w:tcPr>
            <w:tcW w:w="1560" w:type="dxa"/>
            <w:tcBorders>
              <w:top w:val="nil"/>
              <w:left w:val="nil"/>
              <w:bottom w:val="nil"/>
              <w:right w:val="nil"/>
            </w:tcBorders>
            <w:shd w:val="clear" w:color="auto" w:fill="auto"/>
            <w:vAlign w:val="center"/>
            <w:hideMark/>
          </w:tcPr>
          <w:p w14:paraId="0AE3512D" w14:textId="77777777" w:rsidR="00BE303F" w:rsidRPr="001E52FE" w:rsidRDefault="00BE303F" w:rsidP="00BE303F">
            <w:pPr>
              <w:rPr>
                <w:rFonts w:eastAsia="Times New Roman" w:cs="Times New Roman"/>
                <w:color w:val="000000"/>
                <w:sz w:val="22"/>
              </w:rPr>
            </w:pPr>
            <w:proofErr w:type="spellStart"/>
            <w:r w:rsidRPr="001E52FE">
              <w:rPr>
                <w:rFonts w:eastAsia="Times New Roman" w:cs="Times New Roman"/>
                <w:color w:val="000000"/>
                <w:sz w:val="22"/>
              </w:rPr>
              <w:t>RIntdpd</w:t>
            </w:r>
            <w:proofErr w:type="spellEnd"/>
          </w:p>
        </w:tc>
        <w:tc>
          <w:tcPr>
            <w:tcW w:w="1562" w:type="dxa"/>
            <w:tcBorders>
              <w:top w:val="nil"/>
              <w:left w:val="nil"/>
              <w:bottom w:val="nil"/>
              <w:right w:val="nil"/>
            </w:tcBorders>
            <w:shd w:val="clear" w:color="auto" w:fill="auto"/>
            <w:noWrap/>
            <w:vAlign w:val="bottom"/>
            <w:hideMark/>
          </w:tcPr>
          <w:p w14:paraId="4DADDAC7" w14:textId="77777777" w:rsidR="00BE303F" w:rsidRPr="001E52FE" w:rsidRDefault="00BE303F" w:rsidP="00BE303F">
            <w:pPr>
              <w:jc w:val="center"/>
              <w:rPr>
                <w:rFonts w:eastAsia="Times New Roman" w:cs="Times New Roman"/>
                <w:b/>
                <w:bCs/>
                <w:color w:val="000000"/>
                <w:sz w:val="22"/>
              </w:rPr>
            </w:pPr>
            <w:r w:rsidRPr="001E52FE">
              <w:rPr>
                <w:rFonts w:eastAsia="Times New Roman" w:cs="Times New Roman"/>
                <w:b/>
                <w:bCs/>
                <w:color w:val="000000"/>
                <w:sz w:val="22"/>
              </w:rPr>
              <w:t>.13(.10)</w:t>
            </w:r>
          </w:p>
        </w:tc>
        <w:tc>
          <w:tcPr>
            <w:tcW w:w="1280" w:type="dxa"/>
            <w:tcBorders>
              <w:top w:val="nil"/>
              <w:left w:val="nil"/>
              <w:bottom w:val="nil"/>
              <w:right w:val="nil"/>
            </w:tcBorders>
            <w:shd w:val="clear" w:color="auto" w:fill="auto"/>
            <w:noWrap/>
            <w:vAlign w:val="bottom"/>
            <w:hideMark/>
          </w:tcPr>
          <w:p w14:paraId="21AEDD4F"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-.11(.08)</w:t>
            </w:r>
          </w:p>
        </w:tc>
        <w:tc>
          <w:tcPr>
            <w:tcW w:w="276" w:type="dxa"/>
            <w:tcBorders>
              <w:top w:val="nil"/>
              <w:left w:val="nil"/>
              <w:bottom w:val="nil"/>
              <w:right w:val="nil"/>
            </w:tcBorders>
            <w:shd w:val="clear" w:color="auto" w:fill="auto"/>
            <w:vAlign w:val="center"/>
            <w:hideMark/>
          </w:tcPr>
          <w:p w14:paraId="4C6CF172" w14:textId="77777777" w:rsidR="00BE303F" w:rsidRPr="001E52FE" w:rsidRDefault="00BE303F" w:rsidP="00BE303F">
            <w:pPr>
              <w:jc w:val="center"/>
              <w:rPr>
                <w:rFonts w:eastAsia="Times New Roman" w:cs="Times New Roman"/>
                <w:color w:val="000000"/>
                <w:sz w:val="22"/>
              </w:rPr>
            </w:pPr>
          </w:p>
        </w:tc>
        <w:tc>
          <w:tcPr>
            <w:tcW w:w="1480" w:type="dxa"/>
            <w:tcBorders>
              <w:top w:val="nil"/>
              <w:left w:val="nil"/>
              <w:bottom w:val="nil"/>
              <w:right w:val="nil"/>
            </w:tcBorders>
            <w:shd w:val="clear" w:color="auto" w:fill="auto"/>
            <w:vAlign w:val="center"/>
            <w:hideMark/>
          </w:tcPr>
          <w:p w14:paraId="0A7782C7"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w:t>
            </w:r>
          </w:p>
        </w:tc>
        <w:tc>
          <w:tcPr>
            <w:tcW w:w="1481" w:type="dxa"/>
            <w:tcBorders>
              <w:top w:val="nil"/>
              <w:left w:val="nil"/>
              <w:bottom w:val="nil"/>
              <w:right w:val="nil"/>
            </w:tcBorders>
            <w:shd w:val="clear" w:color="auto" w:fill="auto"/>
            <w:noWrap/>
            <w:vAlign w:val="bottom"/>
            <w:hideMark/>
          </w:tcPr>
          <w:p w14:paraId="25E0B009"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-.10(.07)</w:t>
            </w:r>
          </w:p>
        </w:tc>
      </w:tr>
      <w:tr w:rsidR="00BE303F" w:rsidRPr="001E52FE" w14:paraId="21B8039B" w14:textId="77777777" w:rsidTr="003845AB">
        <w:trPr>
          <w:trHeight w:val="310"/>
        </w:trPr>
        <w:tc>
          <w:tcPr>
            <w:tcW w:w="960" w:type="dxa"/>
            <w:tcBorders>
              <w:top w:val="nil"/>
              <w:left w:val="nil"/>
              <w:bottom w:val="nil"/>
              <w:right w:val="nil"/>
            </w:tcBorders>
            <w:shd w:val="clear" w:color="auto" w:fill="auto"/>
            <w:noWrap/>
            <w:vAlign w:val="bottom"/>
            <w:hideMark/>
          </w:tcPr>
          <w:p w14:paraId="7817B282" w14:textId="77777777" w:rsidR="00BE303F" w:rsidRPr="001E52FE" w:rsidRDefault="00BE303F" w:rsidP="00BE303F">
            <w:pPr>
              <w:jc w:val="center"/>
              <w:rPr>
                <w:rFonts w:eastAsia="Times New Roman" w:cs="Times New Roman"/>
                <w:color w:val="000000"/>
                <w:sz w:val="22"/>
              </w:rPr>
            </w:pPr>
          </w:p>
        </w:tc>
        <w:tc>
          <w:tcPr>
            <w:tcW w:w="1560" w:type="dxa"/>
            <w:tcBorders>
              <w:top w:val="nil"/>
              <w:left w:val="nil"/>
              <w:bottom w:val="nil"/>
              <w:right w:val="nil"/>
            </w:tcBorders>
            <w:shd w:val="clear" w:color="auto" w:fill="auto"/>
            <w:vAlign w:val="center"/>
            <w:hideMark/>
          </w:tcPr>
          <w:p w14:paraId="402817DE" w14:textId="77777777" w:rsidR="00BE303F" w:rsidRPr="001E52FE" w:rsidRDefault="00BE303F" w:rsidP="00BE303F">
            <w:pPr>
              <w:rPr>
                <w:rFonts w:eastAsia="Times New Roman" w:cs="Times New Roman"/>
                <w:color w:val="000000"/>
                <w:sz w:val="22"/>
              </w:rPr>
            </w:pPr>
            <w:proofErr w:type="spellStart"/>
            <w:r w:rsidRPr="001E52FE">
              <w:rPr>
                <w:rFonts w:eastAsia="Times New Roman" w:cs="Times New Roman"/>
                <w:color w:val="000000"/>
                <w:sz w:val="22"/>
              </w:rPr>
              <w:t>RCloseness</w:t>
            </w:r>
            <w:proofErr w:type="spellEnd"/>
          </w:p>
        </w:tc>
        <w:tc>
          <w:tcPr>
            <w:tcW w:w="1562" w:type="dxa"/>
            <w:tcBorders>
              <w:top w:val="nil"/>
              <w:left w:val="nil"/>
              <w:bottom w:val="nil"/>
              <w:right w:val="nil"/>
            </w:tcBorders>
            <w:shd w:val="clear" w:color="auto" w:fill="auto"/>
            <w:noWrap/>
            <w:vAlign w:val="bottom"/>
            <w:hideMark/>
          </w:tcPr>
          <w:p w14:paraId="5D287630"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.08(.09)</w:t>
            </w:r>
          </w:p>
        </w:tc>
        <w:tc>
          <w:tcPr>
            <w:tcW w:w="1280" w:type="dxa"/>
            <w:tcBorders>
              <w:top w:val="nil"/>
              <w:left w:val="nil"/>
              <w:bottom w:val="nil"/>
              <w:right w:val="nil"/>
            </w:tcBorders>
            <w:shd w:val="clear" w:color="auto" w:fill="auto"/>
            <w:noWrap/>
            <w:vAlign w:val="bottom"/>
            <w:hideMark/>
          </w:tcPr>
          <w:p w14:paraId="744B07C5"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-.04(.09)</w:t>
            </w:r>
          </w:p>
        </w:tc>
        <w:tc>
          <w:tcPr>
            <w:tcW w:w="276" w:type="dxa"/>
            <w:tcBorders>
              <w:top w:val="nil"/>
              <w:left w:val="nil"/>
              <w:bottom w:val="nil"/>
              <w:right w:val="nil"/>
            </w:tcBorders>
            <w:shd w:val="clear" w:color="auto" w:fill="auto"/>
            <w:vAlign w:val="center"/>
            <w:hideMark/>
          </w:tcPr>
          <w:p w14:paraId="7D7605D3" w14:textId="77777777" w:rsidR="00BE303F" w:rsidRPr="001E52FE" w:rsidRDefault="00BE303F" w:rsidP="00BE303F">
            <w:pPr>
              <w:jc w:val="center"/>
              <w:rPr>
                <w:rFonts w:eastAsia="Times New Roman" w:cs="Times New Roman"/>
                <w:color w:val="000000"/>
                <w:sz w:val="22"/>
              </w:rPr>
            </w:pPr>
          </w:p>
        </w:tc>
        <w:tc>
          <w:tcPr>
            <w:tcW w:w="1480" w:type="dxa"/>
            <w:tcBorders>
              <w:top w:val="nil"/>
              <w:left w:val="nil"/>
              <w:bottom w:val="nil"/>
              <w:right w:val="nil"/>
            </w:tcBorders>
            <w:shd w:val="clear" w:color="auto" w:fill="auto"/>
            <w:vAlign w:val="center"/>
            <w:hideMark/>
          </w:tcPr>
          <w:p w14:paraId="33CA7A32"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w:t>
            </w:r>
          </w:p>
        </w:tc>
        <w:tc>
          <w:tcPr>
            <w:tcW w:w="1481" w:type="dxa"/>
            <w:tcBorders>
              <w:top w:val="nil"/>
              <w:left w:val="nil"/>
              <w:bottom w:val="nil"/>
              <w:right w:val="nil"/>
            </w:tcBorders>
            <w:shd w:val="clear" w:color="auto" w:fill="auto"/>
            <w:noWrap/>
            <w:vAlign w:val="bottom"/>
            <w:hideMark/>
          </w:tcPr>
          <w:p w14:paraId="79BEA475" w14:textId="77777777" w:rsidR="00BE303F" w:rsidRPr="001E52FE" w:rsidRDefault="00BE303F" w:rsidP="00BE303F">
            <w:pPr>
              <w:jc w:val="center"/>
              <w:rPr>
                <w:rFonts w:eastAsia="Times New Roman" w:cs="Times New Roman"/>
                <w:b/>
                <w:bCs/>
                <w:color w:val="000000"/>
                <w:sz w:val="22"/>
              </w:rPr>
            </w:pPr>
            <w:r w:rsidRPr="001E52FE">
              <w:rPr>
                <w:rFonts w:eastAsia="Times New Roman" w:cs="Times New Roman"/>
                <w:b/>
                <w:bCs/>
                <w:color w:val="000000"/>
                <w:sz w:val="22"/>
              </w:rPr>
              <w:t>.05(.09)</w:t>
            </w:r>
          </w:p>
        </w:tc>
      </w:tr>
      <w:tr w:rsidR="00BE303F" w:rsidRPr="001E52FE" w14:paraId="6DB03DDF" w14:textId="77777777" w:rsidTr="003845AB">
        <w:trPr>
          <w:trHeight w:val="310"/>
        </w:trPr>
        <w:tc>
          <w:tcPr>
            <w:tcW w:w="960" w:type="dxa"/>
            <w:tcBorders>
              <w:top w:val="nil"/>
              <w:left w:val="nil"/>
              <w:bottom w:val="nil"/>
              <w:right w:val="nil"/>
            </w:tcBorders>
            <w:shd w:val="clear" w:color="auto" w:fill="auto"/>
            <w:noWrap/>
            <w:vAlign w:val="bottom"/>
            <w:hideMark/>
          </w:tcPr>
          <w:p w14:paraId="2B6F28C0" w14:textId="77777777" w:rsidR="00BE303F" w:rsidRPr="001E52FE" w:rsidRDefault="00BE303F" w:rsidP="00BE303F">
            <w:pPr>
              <w:jc w:val="center"/>
              <w:rPr>
                <w:rFonts w:eastAsia="Times New Roman" w:cs="Times New Roman"/>
                <w:b/>
                <w:bCs/>
                <w:color w:val="000000"/>
                <w:sz w:val="22"/>
              </w:rPr>
            </w:pPr>
          </w:p>
        </w:tc>
        <w:tc>
          <w:tcPr>
            <w:tcW w:w="1560" w:type="dxa"/>
            <w:tcBorders>
              <w:top w:val="nil"/>
              <w:left w:val="nil"/>
              <w:bottom w:val="nil"/>
              <w:right w:val="nil"/>
            </w:tcBorders>
            <w:shd w:val="clear" w:color="auto" w:fill="auto"/>
            <w:vAlign w:val="center"/>
            <w:hideMark/>
          </w:tcPr>
          <w:p w14:paraId="627B269D" w14:textId="77777777" w:rsidR="00BE303F" w:rsidRPr="001E52FE" w:rsidRDefault="00BE303F" w:rsidP="00BE303F">
            <w:pPr>
              <w:rPr>
                <w:rFonts w:eastAsia="Times New Roman" w:cs="Times New Roman"/>
                <w:color w:val="000000"/>
                <w:sz w:val="22"/>
              </w:rPr>
            </w:pPr>
            <w:proofErr w:type="spellStart"/>
            <w:r w:rsidRPr="001E52FE">
              <w:rPr>
                <w:rFonts w:eastAsia="Times New Roman" w:cs="Times New Roman"/>
                <w:color w:val="000000"/>
                <w:sz w:val="22"/>
              </w:rPr>
              <w:t>RSupport</w:t>
            </w:r>
            <w:proofErr w:type="spellEnd"/>
            <w:r w:rsidRPr="001E52FE">
              <w:rPr>
                <w:rFonts w:eastAsia="Times New Roman" w:cs="Times New Roman"/>
                <w:color w:val="000000"/>
                <w:sz w:val="16"/>
                <w:szCs w:val="16"/>
              </w:rPr>
              <w:t> </w:t>
            </w:r>
          </w:p>
        </w:tc>
        <w:tc>
          <w:tcPr>
            <w:tcW w:w="1562" w:type="dxa"/>
            <w:tcBorders>
              <w:top w:val="nil"/>
              <w:left w:val="nil"/>
              <w:bottom w:val="nil"/>
              <w:right w:val="nil"/>
            </w:tcBorders>
            <w:shd w:val="clear" w:color="auto" w:fill="auto"/>
            <w:noWrap/>
            <w:vAlign w:val="bottom"/>
            <w:hideMark/>
          </w:tcPr>
          <w:p w14:paraId="29853F36"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-.09(.11)</w:t>
            </w:r>
          </w:p>
        </w:tc>
        <w:tc>
          <w:tcPr>
            <w:tcW w:w="1280" w:type="dxa"/>
            <w:tcBorders>
              <w:top w:val="nil"/>
              <w:left w:val="nil"/>
              <w:bottom w:val="nil"/>
              <w:right w:val="nil"/>
            </w:tcBorders>
            <w:shd w:val="clear" w:color="auto" w:fill="auto"/>
            <w:noWrap/>
            <w:vAlign w:val="bottom"/>
            <w:hideMark/>
          </w:tcPr>
          <w:p w14:paraId="77D6BCDA"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.41***(.11)</w:t>
            </w:r>
          </w:p>
        </w:tc>
        <w:tc>
          <w:tcPr>
            <w:tcW w:w="276" w:type="dxa"/>
            <w:tcBorders>
              <w:top w:val="nil"/>
              <w:left w:val="nil"/>
              <w:bottom w:val="nil"/>
              <w:right w:val="nil"/>
            </w:tcBorders>
            <w:shd w:val="clear" w:color="auto" w:fill="auto"/>
            <w:vAlign w:val="center"/>
            <w:hideMark/>
          </w:tcPr>
          <w:p w14:paraId="0417E6EB" w14:textId="77777777" w:rsidR="00BE303F" w:rsidRPr="001E52FE" w:rsidRDefault="00BE303F" w:rsidP="00BE303F">
            <w:pPr>
              <w:jc w:val="center"/>
              <w:rPr>
                <w:rFonts w:eastAsia="Times New Roman" w:cs="Times New Roman"/>
                <w:color w:val="000000"/>
                <w:sz w:val="22"/>
              </w:rPr>
            </w:pPr>
          </w:p>
        </w:tc>
        <w:tc>
          <w:tcPr>
            <w:tcW w:w="1480" w:type="dxa"/>
            <w:tcBorders>
              <w:top w:val="nil"/>
              <w:left w:val="nil"/>
              <w:bottom w:val="nil"/>
              <w:right w:val="nil"/>
            </w:tcBorders>
            <w:shd w:val="clear" w:color="auto" w:fill="auto"/>
            <w:vAlign w:val="center"/>
            <w:hideMark/>
          </w:tcPr>
          <w:p w14:paraId="24027241" w14:textId="77777777" w:rsidR="00BE303F" w:rsidRPr="001E52FE" w:rsidRDefault="00BE303F" w:rsidP="00BE303F">
            <w:pPr>
              <w:jc w:val="center"/>
              <w:rPr>
                <w:rFonts w:eastAsia="Times New Roman" w:cs="Times New Roman"/>
                <w:sz w:val="20"/>
                <w:szCs w:val="20"/>
              </w:rPr>
            </w:pPr>
          </w:p>
        </w:tc>
        <w:tc>
          <w:tcPr>
            <w:tcW w:w="1481" w:type="dxa"/>
            <w:tcBorders>
              <w:top w:val="nil"/>
              <w:left w:val="nil"/>
              <w:bottom w:val="nil"/>
              <w:right w:val="nil"/>
            </w:tcBorders>
            <w:shd w:val="clear" w:color="auto" w:fill="auto"/>
            <w:noWrap/>
            <w:vAlign w:val="bottom"/>
            <w:hideMark/>
          </w:tcPr>
          <w:p w14:paraId="0CE5F9E3"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.26**(.10)</w:t>
            </w:r>
          </w:p>
        </w:tc>
      </w:tr>
      <w:tr w:rsidR="00BE303F" w:rsidRPr="001E52FE" w14:paraId="0C98E4E0" w14:textId="77777777" w:rsidTr="003845AB">
        <w:trPr>
          <w:trHeight w:val="310"/>
        </w:trPr>
        <w:tc>
          <w:tcPr>
            <w:tcW w:w="2520" w:type="dxa"/>
            <w:gridSpan w:val="2"/>
            <w:tcBorders>
              <w:top w:val="nil"/>
              <w:left w:val="nil"/>
              <w:bottom w:val="nil"/>
              <w:right w:val="nil"/>
            </w:tcBorders>
            <w:shd w:val="clear" w:color="auto" w:fill="auto"/>
            <w:noWrap/>
            <w:vAlign w:val="bottom"/>
            <w:hideMark/>
          </w:tcPr>
          <w:p w14:paraId="1D428DFF" w14:textId="77777777" w:rsidR="00BE303F" w:rsidRPr="001E52FE" w:rsidRDefault="00BE303F" w:rsidP="00BE303F">
            <w:pPr>
              <w:rPr>
                <w:rFonts w:eastAsia="Times New Roman" w:cs="Times New Roman"/>
                <w:i/>
                <w:iCs/>
                <w:color w:val="000000"/>
                <w:sz w:val="22"/>
                <w:u w:val="single"/>
              </w:rPr>
            </w:pPr>
            <w:r w:rsidRPr="001E52FE">
              <w:rPr>
                <w:rFonts w:eastAsia="Times New Roman" w:cs="Times New Roman"/>
                <w:i/>
                <w:iCs/>
                <w:color w:val="000000"/>
                <w:sz w:val="22"/>
                <w:u w:val="single"/>
              </w:rPr>
              <w:t>Advice Quality</w:t>
            </w:r>
          </w:p>
        </w:tc>
        <w:tc>
          <w:tcPr>
            <w:tcW w:w="1562" w:type="dxa"/>
            <w:tcBorders>
              <w:top w:val="nil"/>
              <w:left w:val="nil"/>
              <w:bottom w:val="nil"/>
              <w:right w:val="nil"/>
            </w:tcBorders>
            <w:shd w:val="clear" w:color="auto" w:fill="auto"/>
            <w:vAlign w:val="center"/>
            <w:hideMark/>
          </w:tcPr>
          <w:p w14:paraId="1D4E3E64" w14:textId="77777777" w:rsidR="00BE303F" w:rsidRPr="001E52FE" w:rsidRDefault="00BE303F" w:rsidP="00BE303F">
            <w:pPr>
              <w:rPr>
                <w:rFonts w:eastAsia="Times New Roman" w:cs="Times New Roman"/>
                <w:i/>
                <w:iCs/>
                <w:color w:val="000000"/>
                <w:sz w:val="22"/>
                <w:u w:val="single"/>
              </w:rPr>
            </w:pPr>
          </w:p>
        </w:tc>
        <w:tc>
          <w:tcPr>
            <w:tcW w:w="1280" w:type="dxa"/>
            <w:tcBorders>
              <w:top w:val="nil"/>
              <w:left w:val="nil"/>
              <w:bottom w:val="nil"/>
              <w:right w:val="nil"/>
            </w:tcBorders>
            <w:shd w:val="clear" w:color="auto" w:fill="auto"/>
            <w:vAlign w:val="center"/>
            <w:hideMark/>
          </w:tcPr>
          <w:p w14:paraId="5DBC3222" w14:textId="77777777" w:rsidR="00BE303F" w:rsidRPr="001E52FE" w:rsidRDefault="00BE303F" w:rsidP="00BE303F">
            <w:pPr>
              <w:jc w:val="center"/>
              <w:rPr>
                <w:rFonts w:eastAsia="Times New Roman" w:cs="Times New Roman"/>
                <w:sz w:val="20"/>
                <w:szCs w:val="20"/>
              </w:rPr>
            </w:pPr>
          </w:p>
        </w:tc>
        <w:tc>
          <w:tcPr>
            <w:tcW w:w="276" w:type="dxa"/>
            <w:tcBorders>
              <w:top w:val="nil"/>
              <w:left w:val="nil"/>
              <w:bottom w:val="nil"/>
              <w:right w:val="nil"/>
            </w:tcBorders>
            <w:shd w:val="clear" w:color="auto" w:fill="auto"/>
            <w:vAlign w:val="center"/>
            <w:hideMark/>
          </w:tcPr>
          <w:p w14:paraId="17DC17D9" w14:textId="77777777" w:rsidR="00BE303F" w:rsidRPr="001E52FE" w:rsidRDefault="00BE303F" w:rsidP="00BE303F">
            <w:pPr>
              <w:jc w:val="center"/>
              <w:rPr>
                <w:rFonts w:eastAsia="Times New Roman" w:cs="Times New Roman"/>
                <w:sz w:val="20"/>
                <w:szCs w:val="20"/>
              </w:rPr>
            </w:pPr>
          </w:p>
        </w:tc>
        <w:tc>
          <w:tcPr>
            <w:tcW w:w="1480" w:type="dxa"/>
            <w:tcBorders>
              <w:top w:val="nil"/>
              <w:left w:val="nil"/>
              <w:bottom w:val="nil"/>
              <w:right w:val="nil"/>
            </w:tcBorders>
            <w:shd w:val="clear" w:color="auto" w:fill="auto"/>
            <w:vAlign w:val="center"/>
            <w:hideMark/>
          </w:tcPr>
          <w:p w14:paraId="718B9CF9" w14:textId="77777777" w:rsidR="00BE303F" w:rsidRPr="001E52FE" w:rsidRDefault="00BE303F" w:rsidP="00BE303F">
            <w:pPr>
              <w:jc w:val="center"/>
              <w:rPr>
                <w:rFonts w:eastAsia="Times New Roman" w:cs="Times New Roman"/>
                <w:sz w:val="20"/>
                <w:szCs w:val="20"/>
              </w:rPr>
            </w:pPr>
          </w:p>
        </w:tc>
        <w:tc>
          <w:tcPr>
            <w:tcW w:w="1481" w:type="dxa"/>
            <w:tcBorders>
              <w:top w:val="nil"/>
              <w:left w:val="nil"/>
              <w:bottom w:val="nil"/>
              <w:right w:val="nil"/>
            </w:tcBorders>
            <w:shd w:val="clear" w:color="auto" w:fill="auto"/>
            <w:vAlign w:val="center"/>
            <w:hideMark/>
          </w:tcPr>
          <w:p w14:paraId="1411DEB1" w14:textId="77777777" w:rsidR="00BE303F" w:rsidRPr="001E52FE" w:rsidRDefault="00BE303F" w:rsidP="00BE303F">
            <w:pPr>
              <w:jc w:val="center"/>
              <w:rPr>
                <w:rFonts w:eastAsia="Times New Roman" w:cs="Times New Roman"/>
                <w:sz w:val="20"/>
                <w:szCs w:val="20"/>
              </w:rPr>
            </w:pPr>
          </w:p>
        </w:tc>
      </w:tr>
      <w:tr w:rsidR="00BE303F" w:rsidRPr="001E52FE" w14:paraId="34DB72D4" w14:textId="77777777" w:rsidTr="003845AB">
        <w:trPr>
          <w:trHeight w:val="310"/>
        </w:trPr>
        <w:tc>
          <w:tcPr>
            <w:tcW w:w="960" w:type="dxa"/>
            <w:tcBorders>
              <w:top w:val="nil"/>
              <w:left w:val="nil"/>
              <w:bottom w:val="nil"/>
              <w:right w:val="nil"/>
            </w:tcBorders>
            <w:shd w:val="clear" w:color="auto" w:fill="auto"/>
            <w:noWrap/>
            <w:vAlign w:val="bottom"/>
            <w:hideMark/>
          </w:tcPr>
          <w:p w14:paraId="60911E2B" w14:textId="77777777" w:rsidR="00BE303F" w:rsidRPr="001E52FE" w:rsidRDefault="00BE303F" w:rsidP="00BE303F">
            <w:pPr>
              <w:jc w:val="center"/>
              <w:rPr>
                <w:rFonts w:eastAsia="Times New Roman" w:cs="Times New Roman"/>
                <w:sz w:val="20"/>
                <w:szCs w:val="20"/>
              </w:rPr>
            </w:pPr>
          </w:p>
        </w:tc>
        <w:tc>
          <w:tcPr>
            <w:tcW w:w="1560" w:type="dxa"/>
            <w:tcBorders>
              <w:top w:val="nil"/>
              <w:left w:val="nil"/>
              <w:bottom w:val="nil"/>
              <w:right w:val="nil"/>
            </w:tcBorders>
            <w:shd w:val="clear" w:color="000000" w:fill="D9D9D9"/>
            <w:vAlign w:val="center"/>
            <w:hideMark/>
          </w:tcPr>
          <w:p w14:paraId="3A3F4BB0" w14:textId="77777777" w:rsidR="00BE303F" w:rsidRPr="001E52FE" w:rsidRDefault="00BE303F" w:rsidP="00BE303F">
            <w:pPr>
              <w:rPr>
                <w:rFonts w:eastAsia="Times New Roman" w:cs="Times New Roman"/>
                <w:color w:val="000000"/>
                <w:sz w:val="22"/>
              </w:rPr>
            </w:pPr>
            <w:proofErr w:type="spellStart"/>
            <w:r w:rsidRPr="001E52FE">
              <w:rPr>
                <w:rFonts w:eastAsia="Times New Roman" w:cs="Times New Roman"/>
                <w:color w:val="000000"/>
                <w:sz w:val="22"/>
              </w:rPr>
              <w:t>AAdvQual</w:t>
            </w:r>
            <w:proofErr w:type="spellEnd"/>
          </w:p>
        </w:tc>
        <w:tc>
          <w:tcPr>
            <w:tcW w:w="1562" w:type="dxa"/>
            <w:tcBorders>
              <w:top w:val="nil"/>
              <w:left w:val="nil"/>
              <w:bottom w:val="nil"/>
              <w:right w:val="nil"/>
            </w:tcBorders>
            <w:shd w:val="clear" w:color="000000" w:fill="D9D9D9"/>
            <w:vAlign w:val="center"/>
            <w:hideMark/>
          </w:tcPr>
          <w:p w14:paraId="29476047"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w:t>
            </w:r>
          </w:p>
        </w:tc>
        <w:tc>
          <w:tcPr>
            <w:tcW w:w="1280" w:type="dxa"/>
            <w:tcBorders>
              <w:top w:val="nil"/>
              <w:left w:val="nil"/>
              <w:bottom w:val="nil"/>
              <w:right w:val="nil"/>
            </w:tcBorders>
            <w:shd w:val="clear" w:color="000000" w:fill="D9D9D9"/>
            <w:vAlign w:val="center"/>
            <w:hideMark/>
          </w:tcPr>
          <w:p w14:paraId="32454641"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w:t>
            </w:r>
          </w:p>
        </w:tc>
        <w:tc>
          <w:tcPr>
            <w:tcW w:w="276" w:type="dxa"/>
            <w:tcBorders>
              <w:top w:val="nil"/>
              <w:left w:val="nil"/>
              <w:bottom w:val="nil"/>
              <w:right w:val="nil"/>
            </w:tcBorders>
            <w:shd w:val="clear" w:color="000000" w:fill="D9D9D9"/>
            <w:vAlign w:val="center"/>
            <w:hideMark/>
          </w:tcPr>
          <w:p w14:paraId="26A509E0"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 </w:t>
            </w:r>
          </w:p>
        </w:tc>
        <w:tc>
          <w:tcPr>
            <w:tcW w:w="1480" w:type="dxa"/>
            <w:tcBorders>
              <w:top w:val="nil"/>
              <w:left w:val="nil"/>
              <w:bottom w:val="nil"/>
              <w:right w:val="nil"/>
            </w:tcBorders>
            <w:shd w:val="clear" w:color="000000" w:fill="D9D9D9"/>
            <w:noWrap/>
            <w:vAlign w:val="bottom"/>
            <w:hideMark/>
          </w:tcPr>
          <w:p w14:paraId="24789D2F"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.36***(.05)</w:t>
            </w:r>
          </w:p>
        </w:tc>
        <w:tc>
          <w:tcPr>
            <w:tcW w:w="1481" w:type="dxa"/>
            <w:tcBorders>
              <w:top w:val="nil"/>
              <w:left w:val="nil"/>
              <w:bottom w:val="nil"/>
              <w:right w:val="nil"/>
            </w:tcBorders>
            <w:shd w:val="clear" w:color="000000" w:fill="D9D9D9"/>
            <w:noWrap/>
            <w:vAlign w:val="bottom"/>
            <w:hideMark/>
          </w:tcPr>
          <w:p w14:paraId="4232E080" w14:textId="77777777" w:rsidR="00BE303F" w:rsidRPr="001E52FE" w:rsidRDefault="00BE303F" w:rsidP="00BE303F">
            <w:pPr>
              <w:jc w:val="center"/>
              <w:rPr>
                <w:rFonts w:eastAsia="Times New Roman" w:cs="Times New Roman"/>
                <w:b/>
                <w:bCs/>
                <w:color w:val="000000"/>
                <w:sz w:val="22"/>
              </w:rPr>
            </w:pPr>
            <w:r w:rsidRPr="001E52FE">
              <w:rPr>
                <w:rFonts w:eastAsia="Times New Roman" w:cs="Times New Roman"/>
                <w:b/>
                <w:bCs/>
                <w:color w:val="000000"/>
                <w:sz w:val="22"/>
              </w:rPr>
              <w:t>-.13*(.07)</w:t>
            </w:r>
          </w:p>
        </w:tc>
      </w:tr>
      <w:tr w:rsidR="00BE303F" w:rsidRPr="001E52FE" w14:paraId="6E1D76D5" w14:textId="77777777" w:rsidTr="003845AB">
        <w:trPr>
          <w:trHeight w:val="310"/>
        </w:trPr>
        <w:tc>
          <w:tcPr>
            <w:tcW w:w="960" w:type="dxa"/>
            <w:tcBorders>
              <w:top w:val="nil"/>
              <w:left w:val="nil"/>
              <w:bottom w:val="nil"/>
              <w:right w:val="nil"/>
            </w:tcBorders>
            <w:shd w:val="clear" w:color="auto" w:fill="auto"/>
            <w:noWrap/>
            <w:vAlign w:val="bottom"/>
            <w:hideMark/>
          </w:tcPr>
          <w:p w14:paraId="61D1112C" w14:textId="77777777" w:rsidR="00BE303F" w:rsidRPr="001E52FE" w:rsidRDefault="00BE303F" w:rsidP="00BE303F">
            <w:pPr>
              <w:jc w:val="center"/>
              <w:rPr>
                <w:rFonts w:eastAsia="Times New Roman" w:cs="Times New Roman"/>
                <w:b/>
                <w:bCs/>
                <w:color w:val="000000"/>
                <w:sz w:val="22"/>
              </w:rPr>
            </w:pPr>
          </w:p>
        </w:tc>
        <w:tc>
          <w:tcPr>
            <w:tcW w:w="1560" w:type="dxa"/>
            <w:tcBorders>
              <w:top w:val="nil"/>
              <w:left w:val="nil"/>
              <w:bottom w:val="nil"/>
              <w:right w:val="nil"/>
            </w:tcBorders>
            <w:shd w:val="clear" w:color="auto" w:fill="auto"/>
            <w:vAlign w:val="center"/>
            <w:hideMark/>
          </w:tcPr>
          <w:p w14:paraId="2C8C9CE0" w14:textId="77777777" w:rsidR="00BE303F" w:rsidRPr="001E52FE" w:rsidRDefault="00BE303F" w:rsidP="00BE303F">
            <w:pPr>
              <w:rPr>
                <w:rFonts w:eastAsia="Times New Roman" w:cs="Times New Roman"/>
                <w:color w:val="000000"/>
                <w:sz w:val="22"/>
              </w:rPr>
            </w:pPr>
            <w:proofErr w:type="spellStart"/>
            <w:r w:rsidRPr="001E52FE">
              <w:rPr>
                <w:rFonts w:eastAsia="Times New Roman" w:cs="Times New Roman"/>
                <w:color w:val="000000"/>
                <w:sz w:val="22"/>
              </w:rPr>
              <w:t>RAdvQual</w:t>
            </w:r>
            <w:proofErr w:type="spellEnd"/>
          </w:p>
        </w:tc>
        <w:tc>
          <w:tcPr>
            <w:tcW w:w="1562" w:type="dxa"/>
            <w:tcBorders>
              <w:top w:val="nil"/>
              <w:left w:val="nil"/>
              <w:bottom w:val="nil"/>
              <w:right w:val="nil"/>
            </w:tcBorders>
            <w:shd w:val="clear" w:color="auto" w:fill="auto"/>
            <w:vAlign w:val="center"/>
            <w:hideMark/>
          </w:tcPr>
          <w:p w14:paraId="296B19B0"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w:t>
            </w:r>
          </w:p>
        </w:tc>
        <w:tc>
          <w:tcPr>
            <w:tcW w:w="1280" w:type="dxa"/>
            <w:tcBorders>
              <w:top w:val="nil"/>
              <w:left w:val="nil"/>
              <w:bottom w:val="nil"/>
              <w:right w:val="nil"/>
            </w:tcBorders>
            <w:shd w:val="clear" w:color="auto" w:fill="auto"/>
            <w:vAlign w:val="center"/>
            <w:hideMark/>
          </w:tcPr>
          <w:p w14:paraId="0CC54663"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w:t>
            </w:r>
          </w:p>
        </w:tc>
        <w:tc>
          <w:tcPr>
            <w:tcW w:w="276" w:type="dxa"/>
            <w:tcBorders>
              <w:top w:val="nil"/>
              <w:left w:val="nil"/>
              <w:bottom w:val="nil"/>
              <w:right w:val="nil"/>
            </w:tcBorders>
            <w:shd w:val="clear" w:color="auto" w:fill="auto"/>
            <w:vAlign w:val="center"/>
            <w:hideMark/>
          </w:tcPr>
          <w:p w14:paraId="072A0874" w14:textId="77777777" w:rsidR="00BE303F" w:rsidRPr="001E52FE" w:rsidRDefault="00BE303F" w:rsidP="00BE303F">
            <w:pPr>
              <w:jc w:val="center"/>
              <w:rPr>
                <w:rFonts w:eastAsia="Times New Roman" w:cs="Times New Roman"/>
                <w:color w:val="000000"/>
                <w:szCs w:val="24"/>
              </w:rPr>
            </w:pPr>
          </w:p>
        </w:tc>
        <w:tc>
          <w:tcPr>
            <w:tcW w:w="1480" w:type="dxa"/>
            <w:tcBorders>
              <w:top w:val="nil"/>
              <w:left w:val="nil"/>
              <w:bottom w:val="nil"/>
              <w:right w:val="nil"/>
            </w:tcBorders>
            <w:shd w:val="clear" w:color="auto" w:fill="auto"/>
            <w:noWrap/>
            <w:vAlign w:val="bottom"/>
            <w:hideMark/>
          </w:tcPr>
          <w:p w14:paraId="7292FE5D" w14:textId="77777777" w:rsidR="00BE303F" w:rsidRPr="001E52FE" w:rsidRDefault="00BE303F" w:rsidP="00BE303F">
            <w:pPr>
              <w:jc w:val="center"/>
              <w:rPr>
                <w:rFonts w:eastAsia="Times New Roman" w:cs="Times New Roman"/>
                <w:b/>
                <w:bCs/>
                <w:color w:val="000000"/>
                <w:sz w:val="22"/>
              </w:rPr>
            </w:pPr>
            <w:r w:rsidRPr="001E52FE">
              <w:rPr>
                <w:rFonts w:eastAsia="Times New Roman" w:cs="Times New Roman"/>
                <w:b/>
                <w:bCs/>
                <w:color w:val="000000"/>
                <w:sz w:val="22"/>
              </w:rPr>
              <w:t>.13</w:t>
            </w:r>
            <w:r w:rsidR="0001035C" w:rsidRPr="001E52FE">
              <w:rPr>
                <w:rFonts w:eastAsia="Times New Roman" w:cs="Times New Roman"/>
                <w:b/>
                <w:bCs/>
                <w:color w:val="000000"/>
                <w:sz w:val="22"/>
              </w:rPr>
              <w:t>†</w:t>
            </w:r>
            <w:r w:rsidRPr="001E52FE">
              <w:rPr>
                <w:rFonts w:eastAsia="Times New Roman" w:cs="Times New Roman"/>
                <w:b/>
                <w:bCs/>
                <w:color w:val="000000"/>
                <w:sz w:val="22"/>
              </w:rPr>
              <w:t>(.07)</w:t>
            </w:r>
          </w:p>
        </w:tc>
        <w:tc>
          <w:tcPr>
            <w:tcW w:w="1481" w:type="dxa"/>
            <w:tcBorders>
              <w:top w:val="nil"/>
              <w:left w:val="nil"/>
              <w:bottom w:val="nil"/>
              <w:right w:val="nil"/>
            </w:tcBorders>
            <w:shd w:val="clear" w:color="auto" w:fill="auto"/>
            <w:noWrap/>
            <w:vAlign w:val="bottom"/>
            <w:hideMark/>
          </w:tcPr>
          <w:p w14:paraId="0C3526C8"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.36***(.05)</w:t>
            </w:r>
          </w:p>
        </w:tc>
      </w:tr>
      <w:tr w:rsidR="00BE303F" w:rsidRPr="001E52FE" w14:paraId="2EC754C3" w14:textId="77777777" w:rsidTr="003845AB">
        <w:trPr>
          <w:trHeight w:val="290"/>
        </w:trPr>
        <w:tc>
          <w:tcPr>
            <w:tcW w:w="2520" w:type="dxa"/>
            <w:gridSpan w:val="2"/>
            <w:tcBorders>
              <w:top w:val="nil"/>
              <w:left w:val="nil"/>
              <w:bottom w:val="nil"/>
              <w:right w:val="nil"/>
            </w:tcBorders>
            <w:shd w:val="clear" w:color="auto" w:fill="auto"/>
            <w:noWrap/>
            <w:vAlign w:val="bottom"/>
            <w:hideMark/>
          </w:tcPr>
          <w:p w14:paraId="7B64C1B6" w14:textId="77777777" w:rsidR="00BE303F" w:rsidRPr="001E52FE" w:rsidRDefault="00BE303F" w:rsidP="00BE303F">
            <w:pPr>
              <w:rPr>
                <w:rFonts w:eastAsia="Times New Roman" w:cs="Times New Roman"/>
                <w:i/>
                <w:iCs/>
                <w:color w:val="000000"/>
                <w:sz w:val="22"/>
                <w:u w:val="single"/>
              </w:rPr>
            </w:pPr>
            <w:r w:rsidRPr="001E52FE">
              <w:rPr>
                <w:rFonts w:eastAsia="Times New Roman" w:cs="Times New Roman"/>
                <w:i/>
                <w:iCs/>
                <w:color w:val="000000"/>
                <w:sz w:val="22"/>
                <w:u w:val="single"/>
              </w:rPr>
              <w:t>Control Variables</w:t>
            </w:r>
          </w:p>
        </w:tc>
        <w:tc>
          <w:tcPr>
            <w:tcW w:w="1562" w:type="dxa"/>
            <w:tcBorders>
              <w:top w:val="nil"/>
              <w:left w:val="nil"/>
              <w:bottom w:val="nil"/>
              <w:right w:val="nil"/>
            </w:tcBorders>
            <w:shd w:val="clear" w:color="auto" w:fill="auto"/>
            <w:vAlign w:val="center"/>
            <w:hideMark/>
          </w:tcPr>
          <w:p w14:paraId="63685887" w14:textId="77777777" w:rsidR="00BE303F" w:rsidRPr="001E52FE" w:rsidRDefault="00BE303F" w:rsidP="00BE303F">
            <w:pPr>
              <w:rPr>
                <w:rFonts w:eastAsia="Times New Roman" w:cs="Times New Roman"/>
                <w:i/>
                <w:iCs/>
                <w:color w:val="000000"/>
                <w:sz w:val="22"/>
                <w:u w:val="single"/>
              </w:rPr>
            </w:pPr>
          </w:p>
        </w:tc>
        <w:tc>
          <w:tcPr>
            <w:tcW w:w="1280" w:type="dxa"/>
            <w:tcBorders>
              <w:top w:val="nil"/>
              <w:left w:val="nil"/>
              <w:bottom w:val="nil"/>
              <w:right w:val="nil"/>
            </w:tcBorders>
            <w:shd w:val="clear" w:color="auto" w:fill="auto"/>
            <w:vAlign w:val="center"/>
            <w:hideMark/>
          </w:tcPr>
          <w:p w14:paraId="35192529" w14:textId="77777777" w:rsidR="00BE303F" w:rsidRPr="001E52FE" w:rsidRDefault="00BE303F" w:rsidP="00BE303F">
            <w:pPr>
              <w:jc w:val="center"/>
              <w:rPr>
                <w:rFonts w:eastAsia="Times New Roman" w:cs="Times New Roman"/>
                <w:sz w:val="20"/>
                <w:szCs w:val="20"/>
              </w:rPr>
            </w:pPr>
          </w:p>
        </w:tc>
        <w:tc>
          <w:tcPr>
            <w:tcW w:w="276" w:type="dxa"/>
            <w:tcBorders>
              <w:top w:val="nil"/>
              <w:left w:val="nil"/>
              <w:bottom w:val="nil"/>
              <w:right w:val="nil"/>
            </w:tcBorders>
            <w:shd w:val="clear" w:color="auto" w:fill="auto"/>
            <w:noWrap/>
            <w:vAlign w:val="center"/>
            <w:hideMark/>
          </w:tcPr>
          <w:p w14:paraId="20B361E0" w14:textId="77777777" w:rsidR="00BE303F" w:rsidRPr="001E52FE" w:rsidRDefault="00BE303F" w:rsidP="00BE303F">
            <w:pPr>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center"/>
            <w:hideMark/>
          </w:tcPr>
          <w:p w14:paraId="1CBE88E5" w14:textId="77777777" w:rsidR="00BE303F" w:rsidRPr="001E52FE" w:rsidRDefault="00BE303F" w:rsidP="00BE303F">
            <w:pPr>
              <w:jc w:val="center"/>
              <w:rPr>
                <w:rFonts w:eastAsia="Times New Roman" w:cs="Times New Roman"/>
                <w:sz w:val="20"/>
                <w:szCs w:val="20"/>
              </w:rPr>
            </w:pPr>
          </w:p>
        </w:tc>
        <w:tc>
          <w:tcPr>
            <w:tcW w:w="1481" w:type="dxa"/>
            <w:tcBorders>
              <w:top w:val="nil"/>
              <w:left w:val="nil"/>
              <w:bottom w:val="nil"/>
              <w:right w:val="nil"/>
            </w:tcBorders>
            <w:shd w:val="clear" w:color="auto" w:fill="auto"/>
            <w:noWrap/>
            <w:vAlign w:val="center"/>
            <w:hideMark/>
          </w:tcPr>
          <w:p w14:paraId="54968DB6" w14:textId="77777777" w:rsidR="00BE303F" w:rsidRPr="001E52FE" w:rsidRDefault="00BE303F" w:rsidP="00BE303F">
            <w:pPr>
              <w:jc w:val="center"/>
              <w:rPr>
                <w:rFonts w:eastAsia="Times New Roman" w:cs="Times New Roman"/>
                <w:sz w:val="20"/>
                <w:szCs w:val="20"/>
              </w:rPr>
            </w:pPr>
          </w:p>
        </w:tc>
      </w:tr>
      <w:tr w:rsidR="00BE303F" w:rsidRPr="001E52FE" w14:paraId="505329D4" w14:textId="77777777" w:rsidTr="003845AB">
        <w:trPr>
          <w:trHeight w:val="310"/>
        </w:trPr>
        <w:tc>
          <w:tcPr>
            <w:tcW w:w="960" w:type="dxa"/>
            <w:tcBorders>
              <w:top w:val="nil"/>
              <w:left w:val="nil"/>
              <w:bottom w:val="nil"/>
              <w:right w:val="nil"/>
            </w:tcBorders>
            <w:shd w:val="clear" w:color="auto" w:fill="auto"/>
            <w:noWrap/>
            <w:vAlign w:val="bottom"/>
            <w:hideMark/>
          </w:tcPr>
          <w:p w14:paraId="300B87EB" w14:textId="77777777" w:rsidR="00BE303F" w:rsidRPr="001E52FE" w:rsidRDefault="00BE303F" w:rsidP="00BE303F">
            <w:pPr>
              <w:jc w:val="center"/>
              <w:rPr>
                <w:rFonts w:eastAsia="Times New Roman" w:cs="Times New Roman"/>
                <w:sz w:val="20"/>
                <w:szCs w:val="20"/>
              </w:rPr>
            </w:pPr>
          </w:p>
        </w:tc>
        <w:tc>
          <w:tcPr>
            <w:tcW w:w="1560" w:type="dxa"/>
            <w:tcBorders>
              <w:top w:val="nil"/>
              <w:left w:val="nil"/>
              <w:bottom w:val="nil"/>
              <w:right w:val="nil"/>
            </w:tcBorders>
            <w:shd w:val="clear" w:color="000000" w:fill="D9D9D9"/>
            <w:noWrap/>
            <w:vAlign w:val="center"/>
            <w:hideMark/>
          </w:tcPr>
          <w:p w14:paraId="456A1C5C" w14:textId="77777777" w:rsidR="00BE303F" w:rsidRPr="001E52FE" w:rsidRDefault="00BE303F" w:rsidP="00BE303F">
            <w:pPr>
              <w:rPr>
                <w:rFonts w:eastAsia="Times New Roman" w:cs="Times New Roman"/>
                <w:color w:val="000000"/>
                <w:sz w:val="22"/>
              </w:rPr>
            </w:pPr>
            <w:r w:rsidRPr="001E52FE">
              <w:rPr>
                <w:rFonts w:eastAsia="Times New Roman" w:cs="Times New Roman"/>
                <w:color w:val="000000"/>
                <w:sz w:val="22"/>
              </w:rPr>
              <w:t>Advisor Sex</w:t>
            </w:r>
          </w:p>
        </w:tc>
        <w:tc>
          <w:tcPr>
            <w:tcW w:w="1562" w:type="dxa"/>
            <w:tcBorders>
              <w:top w:val="nil"/>
              <w:left w:val="nil"/>
              <w:bottom w:val="nil"/>
              <w:right w:val="nil"/>
            </w:tcBorders>
            <w:shd w:val="clear" w:color="000000" w:fill="D9D9D9"/>
            <w:noWrap/>
            <w:vAlign w:val="bottom"/>
            <w:hideMark/>
          </w:tcPr>
          <w:p w14:paraId="12CED509"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-.07(.09)</w:t>
            </w:r>
          </w:p>
        </w:tc>
        <w:tc>
          <w:tcPr>
            <w:tcW w:w="1280" w:type="dxa"/>
            <w:tcBorders>
              <w:top w:val="nil"/>
              <w:left w:val="nil"/>
              <w:bottom w:val="nil"/>
              <w:right w:val="nil"/>
            </w:tcBorders>
            <w:shd w:val="clear" w:color="000000" w:fill="D9D9D9"/>
            <w:noWrap/>
            <w:vAlign w:val="bottom"/>
            <w:hideMark/>
          </w:tcPr>
          <w:p w14:paraId="23CF650E"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.15</w:t>
            </w:r>
            <w:r w:rsidR="0001035C" w:rsidRPr="001E52FE">
              <w:rPr>
                <w:rFonts w:eastAsia="Times New Roman" w:cs="Times New Roman"/>
                <w:color w:val="000000"/>
                <w:sz w:val="22"/>
              </w:rPr>
              <w:t>†</w:t>
            </w:r>
            <w:r w:rsidRPr="001E52FE">
              <w:rPr>
                <w:rFonts w:eastAsia="Times New Roman" w:cs="Times New Roman"/>
                <w:color w:val="000000"/>
                <w:sz w:val="22"/>
              </w:rPr>
              <w:t>(.08)</w:t>
            </w:r>
          </w:p>
        </w:tc>
        <w:tc>
          <w:tcPr>
            <w:tcW w:w="276" w:type="dxa"/>
            <w:tcBorders>
              <w:top w:val="nil"/>
              <w:left w:val="nil"/>
              <w:bottom w:val="nil"/>
              <w:right w:val="nil"/>
            </w:tcBorders>
            <w:shd w:val="clear" w:color="000000" w:fill="D9D9D9"/>
            <w:noWrap/>
            <w:vAlign w:val="center"/>
            <w:hideMark/>
          </w:tcPr>
          <w:p w14:paraId="6664990F"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 </w:t>
            </w:r>
          </w:p>
        </w:tc>
        <w:tc>
          <w:tcPr>
            <w:tcW w:w="1480" w:type="dxa"/>
            <w:tcBorders>
              <w:top w:val="nil"/>
              <w:left w:val="nil"/>
              <w:bottom w:val="nil"/>
              <w:right w:val="nil"/>
            </w:tcBorders>
            <w:shd w:val="clear" w:color="000000" w:fill="D9D9D9"/>
            <w:noWrap/>
            <w:vAlign w:val="bottom"/>
            <w:hideMark/>
          </w:tcPr>
          <w:p w14:paraId="3C50BF86"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-.01(.07)</w:t>
            </w:r>
          </w:p>
        </w:tc>
        <w:tc>
          <w:tcPr>
            <w:tcW w:w="1481" w:type="dxa"/>
            <w:tcBorders>
              <w:top w:val="nil"/>
              <w:left w:val="nil"/>
              <w:bottom w:val="nil"/>
              <w:right w:val="nil"/>
            </w:tcBorders>
            <w:shd w:val="clear" w:color="000000" w:fill="D9D9D9"/>
            <w:vAlign w:val="center"/>
            <w:hideMark/>
          </w:tcPr>
          <w:p w14:paraId="00D040D0"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w:t>
            </w:r>
          </w:p>
        </w:tc>
      </w:tr>
      <w:tr w:rsidR="00BE303F" w:rsidRPr="001E52FE" w14:paraId="58A3D43B" w14:textId="77777777" w:rsidTr="003845AB">
        <w:trPr>
          <w:trHeight w:val="310"/>
        </w:trPr>
        <w:tc>
          <w:tcPr>
            <w:tcW w:w="960" w:type="dxa"/>
            <w:tcBorders>
              <w:top w:val="nil"/>
              <w:left w:val="nil"/>
              <w:bottom w:val="nil"/>
              <w:right w:val="nil"/>
            </w:tcBorders>
            <w:shd w:val="clear" w:color="auto" w:fill="auto"/>
            <w:noWrap/>
            <w:vAlign w:val="bottom"/>
            <w:hideMark/>
          </w:tcPr>
          <w:p w14:paraId="217881AF" w14:textId="77777777" w:rsidR="00BE303F" w:rsidRPr="001E52FE" w:rsidRDefault="00BE303F" w:rsidP="00BE303F">
            <w:pPr>
              <w:jc w:val="center"/>
              <w:rPr>
                <w:rFonts w:eastAsia="Times New Roman" w:cs="Times New Roman"/>
                <w:color w:val="000000"/>
                <w:szCs w:val="24"/>
              </w:rPr>
            </w:pPr>
          </w:p>
        </w:tc>
        <w:tc>
          <w:tcPr>
            <w:tcW w:w="1560" w:type="dxa"/>
            <w:tcBorders>
              <w:top w:val="nil"/>
              <w:left w:val="nil"/>
              <w:bottom w:val="nil"/>
              <w:right w:val="nil"/>
            </w:tcBorders>
            <w:shd w:val="clear" w:color="000000" w:fill="D9D9D9"/>
            <w:noWrap/>
            <w:vAlign w:val="center"/>
            <w:hideMark/>
          </w:tcPr>
          <w:p w14:paraId="2713E972" w14:textId="77777777" w:rsidR="00BE303F" w:rsidRPr="001E52FE" w:rsidRDefault="00BE303F" w:rsidP="00BE303F">
            <w:pPr>
              <w:rPr>
                <w:rFonts w:eastAsia="Times New Roman" w:cs="Times New Roman"/>
                <w:color w:val="000000"/>
                <w:sz w:val="22"/>
              </w:rPr>
            </w:pPr>
            <w:r w:rsidRPr="001E52FE">
              <w:rPr>
                <w:rFonts w:eastAsia="Times New Roman" w:cs="Times New Roman"/>
                <w:color w:val="000000"/>
                <w:sz w:val="22"/>
              </w:rPr>
              <w:t>Advisor Age</w:t>
            </w:r>
          </w:p>
        </w:tc>
        <w:tc>
          <w:tcPr>
            <w:tcW w:w="1562" w:type="dxa"/>
            <w:tcBorders>
              <w:top w:val="nil"/>
              <w:left w:val="nil"/>
              <w:bottom w:val="nil"/>
              <w:right w:val="nil"/>
            </w:tcBorders>
            <w:shd w:val="clear" w:color="000000" w:fill="D9D9D9"/>
            <w:noWrap/>
            <w:vAlign w:val="bottom"/>
            <w:hideMark/>
          </w:tcPr>
          <w:p w14:paraId="41EF9035"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.03(.10)</w:t>
            </w:r>
          </w:p>
        </w:tc>
        <w:tc>
          <w:tcPr>
            <w:tcW w:w="1280" w:type="dxa"/>
            <w:tcBorders>
              <w:top w:val="nil"/>
              <w:left w:val="nil"/>
              <w:bottom w:val="nil"/>
              <w:right w:val="nil"/>
            </w:tcBorders>
            <w:shd w:val="clear" w:color="000000" w:fill="D9D9D9"/>
            <w:noWrap/>
            <w:vAlign w:val="bottom"/>
            <w:hideMark/>
          </w:tcPr>
          <w:p w14:paraId="1E7C1A45"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.07(.09)</w:t>
            </w:r>
          </w:p>
        </w:tc>
        <w:tc>
          <w:tcPr>
            <w:tcW w:w="276" w:type="dxa"/>
            <w:tcBorders>
              <w:top w:val="nil"/>
              <w:left w:val="nil"/>
              <w:bottom w:val="nil"/>
              <w:right w:val="nil"/>
            </w:tcBorders>
            <w:shd w:val="clear" w:color="000000" w:fill="D9D9D9"/>
            <w:noWrap/>
            <w:vAlign w:val="center"/>
            <w:hideMark/>
          </w:tcPr>
          <w:p w14:paraId="1A089AD1"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 </w:t>
            </w:r>
          </w:p>
        </w:tc>
        <w:tc>
          <w:tcPr>
            <w:tcW w:w="1480" w:type="dxa"/>
            <w:tcBorders>
              <w:top w:val="nil"/>
              <w:left w:val="nil"/>
              <w:bottom w:val="nil"/>
              <w:right w:val="nil"/>
            </w:tcBorders>
            <w:shd w:val="clear" w:color="000000" w:fill="D9D9D9"/>
            <w:noWrap/>
            <w:vAlign w:val="bottom"/>
            <w:hideMark/>
          </w:tcPr>
          <w:p w14:paraId="5727FDEB"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-.15*(.07)</w:t>
            </w:r>
          </w:p>
        </w:tc>
        <w:tc>
          <w:tcPr>
            <w:tcW w:w="1481" w:type="dxa"/>
            <w:tcBorders>
              <w:top w:val="nil"/>
              <w:left w:val="nil"/>
              <w:bottom w:val="nil"/>
              <w:right w:val="nil"/>
            </w:tcBorders>
            <w:shd w:val="clear" w:color="000000" w:fill="D9D9D9"/>
            <w:vAlign w:val="center"/>
            <w:hideMark/>
          </w:tcPr>
          <w:p w14:paraId="344510D7"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w:t>
            </w:r>
          </w:p>
        </w:tc>
      </w:tr>
      <w:tr w:rsidR="00BE303F" w:rsidRPr="001E52FE" w14:paraId="6479C89D" w14:textId="77777777" w:rsidTr="003845AB">
        <w:trPr>
          <w:trHeight w:val="310"/>
        </w:trPr>
        <w:tc>
          <w:tcPr>
            <w:tcW w:w="960" w:type="dxa"/>
            <w:tcBorders>
              <w:top w:val="nil"/>
              <w:left w:val="nil"/>
              <w:right w:val="nil"/>
            </w:tcBorders>
            <w:shd w:val="clear" w:color="auto" w:fill="auto"/>
            <w:noWrap/>
            <w:vAlign w:val="bottom"/>
            <w:hideMark/>
          </w:tcPr>
          <w:p w14:paraId="2011CA41" w14:textId="77777777" w:rsidR="00BE303F" w:rsidRPr="001E52FE" w:rsidRDefault="00BE303F" w:rsidP="00BE303F">
            <w:pPr>
              <w:jc w:val="center"/>
              <w:rPr>
                <w:rFonts w:eastAsia="Times New Roman" w:cs="Times New Roman"/>
                <w:color w:val="000000"/>
                <w:szCs w:val="24"/>
              </w:rPr>
            </w:pPr>
          </w:p>
        </w:tc>
        <w:tc>
          <w:tcPr>
            <w:tcW w:w="1560" w:type="dxa"/>
            <w:tcBorders>
              <w:top w:val="nil"/>
              <w:left w:val="nil"/>
              <w:right w:val="nil"/>
            </w:tcBorders>
            <w:shd w:val="clear" w:color="auto" w:fill="auto"/>
            <w:noWrap/>
            <w:vAlign w:val="center"/>
            <w:hideMark/>
          </w:tcPr>
          <w:p w14:paraId="6588EBE3" w14:textId="77777777" w:rsidR="00BE303F" w:rsidRPr="001E52FE" w:rsidRDefault="00BE303F" w:rsidP="00BE303F">
            <w:pPr>
              <w:rPr>
                <w:rFonts w:eastAsia="Times New Roman" w:cs="Times New Roman"/>
                <w:color w:val="000000"/>
                <w:sz w:val="22"/>
              </w:rPr>
            </w:pPr>
            <w:r w:rsidRPr="001E52FE">
              <w:rPr>
                <w:rFonts w:eastAsia="Times New Roman" w:cs="Times New Roman"/>
                <w:color w:val="000000"/>
                <w:sz w:val="22"/>
              </w:rPr>
              <w:t>Recipient Sex</w:t>
            </w:r>
          </w:p>
        </w:tc>
        <w:tc>
          <w:tcPr>
            <w:tcW w:w="1562" w:type="dxa"/>
            <w:tcBorders>
              <w:top w:val="nil"/>
              <w:left w:val="nil"/>
              <w:right w:val="nil"/>
            </w:tcBorders>
            <w:shd w:val="clear" w:color="auto" w:fill="auto"/>
            <w:noWrap/>
            <w:vAlign w:val="bottom"/>
            <w:hideMark/>
          </w:tcPr>
          <w:p w14:paraId="50CE6038"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.05(.09)</w:t>
            </w:r>
          </w:p>
        </w:tc>
        <w:tc>
          <w:tcPr>
            <w:tcW w:w="1280" w:type="dxa"/>
            <w:tcBorders>
              <w:top w:val="nil"/>
              <w:left w:val="nil"/>
              <w:right w:val="nil"/>
            </w:tcBorders>
            <w:shd w:val="clear" w:color="auto" w:fill="auto"/>
            <w:noWrap/>
            <w:vAlign w:val="bottom"/>
            <w:hideMark/>
          </w:tcPr>
          <w:p w14:paraId="184E2EBF"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-.13(.08)</w:t>
            </w:r>
          </w:p>
        </w:tc>
        <w:tc>
          <w:tcPr>
            <w:tcW w:w="276" w:type="dxa"/>
            <w:tcBorders>
              <w:top w:val="nil"/>
              <w:left w:val="nil"/>
              <w:right w:val="nil"/>
            </w:tcBorders>
            <w:shd w:val="clear" w:color="auto" w:fill="auto"/>
            <w:noWrap/>
            <w:vAlign w:val="center"/>
            <w:hideMark/>
          </w:tcPr>
          <w:p w14:paraId="0A64062B" w14:textId="77777777" w:rsidR="00BE303F" w:rsidRPr="001E52FE" w:rsidRDefault="00BE303F" w:rsidP="00BE303F">
            <w:pPr>
              <w:jc w:val="center"/>
              <w:rPr>
                <w:rFonts w:eastAsia="Times New Roman" w:cs="Times New Roman"/>
                <w:color w:val="000000"/>
                <w:sz w:val="22"/>
              </w:rPr>
            </w:pPr>
          </w:p>
        </w:tc>
        <w:tc>
          <w:tcPr>
            <w:tcW w:w="1480" w:type="dxa"/>
            <w:tcBorders>
              <w:top w:val="nil"/>
              <w:left w:val="nil"/>
              <w:right w:val="nil"/>
            </w:tcBorders>
            <w:shd w:val="clear" w:color="auto" w:fill="auto"/>
            <w:vAlign w:val="center"/>
            <w:hideMark/>
          </w:tcPr>
          <w:p w14:paraId="3A4D5C9D"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w:t>
            </w:r>
          </w:p>
        </w:tc>
        <w:tc>
          <w:tcPr>
            <w:tcW w:w="1481" w:type="dxa"/>
            <w:tcBorders>
              <w:top w:val="nil"/>
              <w:left w:val="nil"/>
              <w:right w:val="nil"/>
            </w:tcBorders>
            <w:shd w:val="clear" w:color="auto" w:fill="auto"/>
            <w:noWrap/>
            <w:vAlign w:val="bottom"/>
            <w:hideMark/>
          </w:tcPr>
          <w:p w14:paraId="44E6C754"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.06(.07)</w:t>
            </w:r>
          </w:p>
        </w:tc>
      </w:tr>
      <w:tr w:rsidR="00BE303F" w:rsidRPr="001E52FE" w14:paraId="548C42DF" w14:textId="77777777" w:rsidTr="003845AB">
        <w:trPr>
          <w:trHeight w:val="310"/>
        </w:trPr>
        <w:tc>
          <w:tcPr>
            <w:tcW w:w="960" w:type="dxa"/>
            <w:tcBorders>
              <w:top w:val="nil"/>
              <w:left w:val="nil"/>
              <w:bottom w:val="single" w:sz="4" w:space="0" w:color="auto"/>
              <w:right w:val="nil"/>
            </w:tcBorders>
            <w:shd w:val="clear" w:color="auto" w:fill="auto"/>
            <w:noWrap/>
            <w:vAlign w:val="bottom"/>
            <w:hideMark/>
          </w:tcPr>
          <w:p w14:paraId="2F122CD7" w14:textId="77777777" w:rsidR="00BE303F" w:rsidRPr="001E52FE" w:rsidRDefault="00BE303F" w:rsidP="00BE303F">
            <w:pPr>
              <w:jc w:val="center"/>
              <w:rPr>
                <w:rFonts w:eastAsia="Times New Roman" w:cs="Times New Roman"/>
                <w:color w:val="000000"/>
                <w:sz w:val="22"/>
              </w:rPr>
            </w:pPr>
          </w:p>
        </w:tc>
        <w:tc>
          <w:tcPr>
            <w:tcW w:w="1560" w:type="dxa"/>
            <w:tcBorders>
              <w:top w:val="nil"/>
              <w:left w:val="nil"/>
              <w:bottom w:val="single" w:sz="4" w:space="0" w:color="auto"/>
              <w:right w:val="nil"/>
            </w:tcBorders>
            <w:shd w:val="clear" w:color="auto" w:fill="auto"/>
            <w:noWrap/>
            <w:vAlign w:val="center"/>
            <w:hideMark/>
          </w:tcPr>
          <w:p w14:paraId="674F0CF8" w14:textId="77777777" w:rsidR="00BE303F" w:rsidRPr="001E52FE" w:rsidRDefault="00BE303F" w:rsidP="00BE303F">
            <w:pPr>
              <w:rPr>
                <w:rFonts w:eastAsia="Times New Roman" w:cs="Times New Roman"/>
                <w:color w:val="000000"/>
                <w:sz w:val="22"/>
              </w:rPr>
            </w:pPr>
            <w:r w:rsidRPr="001E52FE">
              <w:rPr>
                <w:rFonts w:eastAsia="Times New Roman" w:cs="Times New Roman"/>
                <w:color w:val="000000"/>
                <w:sz w:val="22"/>
              </w:rPr>
              <w:t>Recipient Age</w:t>
            </w:r>
          </w:p>
        </w:tc>
        <w:tc>
          <w:tcPr>
            <w:tcW w:w="1562" w:type="dxa"/>
            <w:tcBorders>
              <w:top w:val="nil"/>
              <w:left w:val="nil"/>
              <w:bottom w:val="single" w:sz="4" w:space="0" w:color="auto"/>
              <w:right w:val="nil"/>
            </w:tcBorders>
            <w:shd w:val="clear" w:color="auto" w:fill="auto"/>
            <w:noWrap/>
            <w:vAlign w:val="bottom"/>
            <w:hideMark/>
          </w:tcPr>
          <w:p w14:paraId="5EB17044"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-.05(.10)</w:t>
            </w:r>
          </w:p>
        </w:tc>
        <w:tc>
          <w:tcPr>
            <w:tcW w:w="1280" w:type="dxa"/>
            <w:tcBorders>
              <w:top w:val="nil"/>
              <w:left w:val="nil"/>
              <w:bottom w:val="single" w:sz="4" w:space="0" w:color="auto"/>
              <w:right w:val="nil"/>
            </w:tcBorders>
            <w:shd w:val="clear" w:color="auto" w:fill="auto"/>
            <w:noWrap/>
            <w:vAlign w:val="bottom"/>
            <w:hideMark/>
          </w:tcPr>
          <w:p w14:paraId="582CC94D"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-.17</w:t>
            </w:r>
            <w:r w:rsidR="0001035C" w:rsidRPr="001E52FE">
              <w:rPr>
                <w:rFonts w:eastAsia="Times New Roman" w:cs="Times New Roman"/>
                <w:color w:val="000000"/>
                <w:sz w:val="22"/>
              </w:rPr>
              <w:t>†</w:t>
            </w:r>
            <w:r w:rsidRPr="001E52FE">
              <w:rPr>
                <w:rFonts w:eastAsia="Times New Roman" w:cs="Times New Roman"/>
                <w:color w:val="000000"/>
                <w:sz w:val="22"/>
              </w:rPr>
              <w:t>(.10)</w:t>
            </w:r>
          </w:p>
        </w:tc>
        <w:tc>
          <w:tcPr>
            <w:tcW w:w="276" w:type="dxa"/>
            <w:tcBorders>
              <w:top w:val="nil"/>
              <w:left w:val="nil"/>
              <w:bottom w:val="single" w:sz="4" w:space="0" w:color="auto"/>
              <w:right w:val="nil"/>
            </w:tcBorders>
            <w:shd w:val="clear" w:color="auto" w:fill="auto"/>
            <w:noWrap/>
            <w:vAlign w:val="center"/>
            <w:hideMark/>
          </w:tcPr>
          <w:p w14:paraId="49337EB1" w14:textId="77777777" w:rsidR="00BE303F" w:rsidRPr="001E52FE" w:rsidRDefault="00BE303F" w:rsidP="00BE303F">
            <w:pPr>
              <w:jc w:val="center"/>
              <w:rPr>
                <w:rFonts w:eastAsia="Times New Roman" w:cs="Times New Roman"/>
                <w:color w:val="000000"/>
                <w:sz w:val="22"/>
              </w:rPr>
            </w:pPr>
          </w:p>
        </w:tc>
        <w:tc>
          <w:tcPr>
            <w:tcW w:w="1480" w:type="dxa"/>
            <w:tcBorders>
              <w:top w:val="nil"/>
              <w:left w:val="nil"/>
              <w:bottom w:val="single" w:sz="4" w:space="0" w:color="auto"/>
              <w:right w:val="nil"/>
            </w:tcBorders>
            <w:shd w:val="clear" w:color="auto" w:fill="auto"/>
            <w:vAlign w:val="center"/>
            <w:hideMark/>
          </w:tcPr>
          <w:p w14:paraId="57901F78" w14:textId="77777777" w:rsidR="00BE303F" w:rsidRPr="001E52FE" w:rsidRDefault="00BE303F" w:rsidP="00BE303F">
            <w:pPr>
              <w:jc w:val="center"/>
              <w:rPr>
                <w:rFonts w:eastAsia="Times New Roman" w:cs="Times New Roman"/>
                <w:color w:val="000000"/>
                <w:szCs w:val="24"/>
              </w:rPr>
            </w:pPr>
            <w:r w:rsidRPr="001E52FE">
              <w:rPr>
                <w:rFonts w:eastAsia="Times New Roman" w:cs="Times New Roman"/>
                <w:color w:val="000000"/>
                <w:szCs w:val="24"/>
              </w:rPr>
              <w:t>---</w:t>
            </w:r>
          </w:p>
        </w:tc>
        <w:tc>
          <w:tcPr>
            <w:tcW w:w="1481" w:type="dxa"/>
            <w:tcBorders>
              <w:top w:val="nil"/>
              <w:left w:val="nil"/>
              <w:bottom w:val="single" w:sz="4" w:space="0" w:color="auto"/>
              <w:right w:val="nil"/>
            </w:tcBorders>
            <w:shd w:val="clear" w:color="auto" w:fill="auto"/>
            <w:noWrap/>
            <w:vAlign w:val="bottom"/>
            <w:hideMark/>
          </w:tcPr>
          <w:p w14:paraId="4F143042" w14:textId="77777777" w:rsidR="00BE303F" w:rsidRPr="001E52FE" w:rsidRDefault="00BE303F" w:rsidP="00BE303F">
            <w:pPr>
              <w:jc w:val="center"/>
              <w:rPr>
                <w:rFonts w:eastAsia="Times New Roman" w:cs="Times New Roman"/>
                <w:color w:val="000000"/>
                <w:sz w:val="22"/>
              </w:rPr>
            </w:pPr>
            <w:r w:rsidRPr="001E52FE">
              <w:rPr>
                <w:rFonts w:eastAsia="Times New Roman" w:cs="Times New Roman"/>
                <w:color w:val="000000"/>
                <w:sz w:val="22"/>
              </w:rPr>
              <w:t>-.13</w:t>
            </w:r>
            <w:r w:rsidR="0001035C" w:rsidRPr="001E52FE">
              <w:rPr>
                <w:rFonts w:eastAsia="Times New Roman" w:cs="Times New Roman"/>
                <w:color w:val="000000"/>
                <w:sz w:val="22"/>
              </w:rPr>
              <w:t>†</w:t>
            </w:r>
            <w:r w:rsidRPr="001E52FE">
              <w:rPr>
                <w:rFonts w:eastAsia="Times New Roman" w:cs="Times New Roman"/>
                <w:color w:val="000000"/>
                <w:sz w:val="22"/>
              </w:rPr>
              <w:t>(.07)</w:t>
            </w:r>
          </w:p>
        </w:tc>
      </w:tr>
    </w:tbl>
    <w:p w14:paraId="23EE3842" w14:textId="7B881DF6" w:rsidR="007E65B4" w:rsidRPr="001E52FE" w:rsidRDefault="0049699A" w:rsidP="000330FC">
      <w:pPr>
        <w:rPr>
          <w:i/>
        </w:rPr>
      </w:pPr>
      <w:r w:rsidRPr="001E52FE">
        <w:rPr>
          <w:i/>
          <w:szCs w:val="24"/>
        </w:rPr>
        <w:t xml:space="preserve">Notes. </w:t>
      </w:r>
      <w:r w:rsidR="00F74749" w:rsidRPr="001E52FE">
        <w:t xml:space="preserve">See Table 1 for abbreviations. Most </w:t>
      </w:r>
      <w:r w:rsidR="00C972A1">
        <w:t xml:space="preserve">predicted </w:t>
      </w:r>
      <w:r w:rsidR="00F74749" w:rsidRPr="001E52FE">
        <w:t xml:space="preserve">paths were indistinguishable: bolded coefficients indicate distinguishability between advisors and recipients. </w:t>
      </w:r>
      <w:r w:rsidR="00E43287" w:rsidRPr="001E52FE">
        <w:t>C</w:t>
      </w:r>
      <w:r w:rsidR="00F74749" w:rsidRPr="001E52FE">
        <w:t xml:space="preserve">oefficients are interpreted as standardized as all variables were standardized prior to entry. Standard errors are reported in parentheses. </w:t>
      </w:r>
    </w:p>
    <w:p w14:paraId="04F10E40" w14:textId="77777777" w:rsidR="0049699A" w:rsidRPr="001E52FE" w:rsidRDefault="0001035C" w:rsidP="000330FC">
      <w:pPr>
        <w:rPr>
          <w:i/>
          <w:szCs w:val="24"/>
        </w:rPr>
      </w:pPr>
      <w:r w:rsidRPr="001E52FE">
        <w:rPr>
          <w:rFonts w:eastAsia="Calibri" w:cs="Times New Roman"/>
          <w:sz w:val="22"/>
        </w:rPr>
        <w:t>†</w:t>
      </w:r>
      <w:r w:rsidR="0049699A" w:rsidRPr="001E52FE">
        <w:rPr>
          <w:i/>
          <w:szCs w:val="24"/>
        </w:rPr>
        <w:t>p</w:t>
      </w:r>
      <w:r w:rsidR="00556890" w:rsidRPr="001E52FE">
        <w:rPr>
          <w:i/>
          <w:szCs w:val="24"/>
        </w:rPr>
        <w:t xml:space="preserve"> </w:t>
      </w:r>
      <w:r w:rsidR="0049699A" w:rsidRPr="001E52FE">
        <w:rPr>
          <w:szCs w:val="24"/>
        </w:rPr>
        <w:t>&lt;</w:t>
      </w:r>
      <w:r w:rsidR="00556890" w:rsidRPr="001E52FE">
        <w:rPr>
          <w:szCs w:val="24"/>
        </w:rPr>
        <w:t xml:space="preserve"> </w:t>
      </w:r>
      <w:r w:rsidR="0049699A" w:rsidRPr="001E52FE">
        <w:rPr>
          <w:szCs w:val="24"/>
        </w:rPr>
        <w:t>.1</w:t>
      </w:r>
      <w:r w:rsidR="00556890" w:rsidRPr="001E52FE">
        <w:rPr>
          <w:szCs w:val="24"/>
        </w:rPr>
        <w:t>0</w:t>
      </w:r>
      <w:r w:rsidR="00722035" w:rsidRPr="001E52FE">
        <w:rPr>
          <w:szCs w:val="24"/>
        </w:rPr>
        <w:t>,</w:t>
      </w:r>
      <w:r w:rsidR="0049699A" w:rsidRPr="001E52FE">
        <w:rPr>
          <w:i/>
          <w:szCs w:val="24"/>
        </w:rPr>
        <w:t xml:space="preserve"> *p</w:t>
      </w:r>
      <w:r w:rsidR="00556890" w:rsidRPr="001E52FE">
        <w:rPr>
          <w:i/>
          <w:szCs w:val="24"/>
        </w:rPr>
        <w:t xml:space="preserve"> </w:t>
      </w:r>
      <w:r w:rsidR="0049699A" w:rsidRPr="001E52FE">
        <w:rPr>
          <w:szCs w:val="24"/>
        </w:rPr>
        <w:t>&lt;</w:t>
      </w:r>
      <w:r w:rsidR="00556890" w:rsidRPr="001E52FE">
        <w:rPr>
          <w:szCs w:val="24"/>
        </w:rPr>
        <w:t xml:space="preserve"> </w:t>
      </w:r>
      <w:r w:rsidR="0049699A" w:rsidRPr="001E52FE">
        <w:rPr>
          <w:szCs w:val="24"/>
        </w:rPr>
        <w:t>.05</w:t>
      </w:r>
      <w:r w:rsidR="00722035" w:rsidRPr="001E52FE">
        <w:rPr>
          <w:szCs w:val="24"/>
        </w:rPr>
        <w:t>, **</w:t>
      </w:r>
      <w:r w:rsidR="00722035" w:rsidRPr="001E52FE">
        <w:rPr>
          <w:i/>
          <w:szCs w:val="24"/>
        </w:rPr>
        <w:t xml:space="preserve">p </w:t>
      </w:r>
      <w:r w:rsidR="00722035" w:rsidRPr="001E52FE">
        <w:rPr>
          <w:szCs w:val="24"/>
        </w:rPr>
        <w:t>&lt; .01, ***</w:t>
      </w:r>
      <w:r w:rsidR="00722035" w:rsidRPr="001E52FE">
        <w:rPr>
          <w:i/>
          <w:szCs w:val="24"/>
        </w:rPr>
        <w:t xml:space="preserve">p </w:t>
      </w:r>
      <w:r w:rsidR="00722035" w:rsidRPr="001E52FE">
        <w:rPr>
          <w:szCs w:val="24"/>
        </w:rPr>
        <w:t>&lt; .001.</w:t>
      </w:r>
      <w:r w:rsidR="0049699A" w:rsidRPr="001E52FE">
        <w:rPr>
          <w:i/>
          <w:szCs w:val="24"/>
        </w:rPr>
        <w:t xml:space="preserve"> </w:t>
      </w:r>
    </w:p>
    <w:p w14:paraId="2EBC71A9" w14:textId="77777777" w:rsidR="0049699A" w:rsidRPr="001E52FE" w:rsidRDefault="0049699A" w:rsidP="000330FC">
      <w:pPr>
        <w:spacing w:after="160"/>
        <w:rPr>
          <w:b/>
        </w:rPr>
      </w:pPr>
      <w:r w:rsidRPr="001E52FE">
        <w:rPr>
          <w:b/>
        </w:rPr>
        <w:br w:type="page"/>
      </w:r>
    </w:p>
    <w:p w14:paraId="0E613405" w14:textId="77777777" w:rsidR="00B52F4B" w:rsidRPr="001E52FE" w:rsidRDefault="00B52F4B" w:rsidP="000330FC">
      <w:r w:rsidRPr="001E52FE">
        <w:lastRenderedPageBreak/>
        <w:t>Figure 1</w:t>
      </w:r>
    </w:p>
    <w:p w14:paraId="42154C34" w14:textId="7FE0BA99" w:rsidR="009C49EC" w:rsidRPr="001E52FE" w:rsidRDefault="00895C2C" w:rsidP="000330FC">
      <w:r w:rsidRPr="001E52FE">
        <w:rPr>
          <w:noProof/>
        </w:rPr>
        <w:drawing>
          <wp:anchor distT="0" distB="0" distL="114300" distR="114300" simplePos="0" relativeHeight="251662336" behindDoc="0" locked="0" layoutInCell="1" allowOverlap="1" wp14:anchorId="697C8177" wp14:editId="095BE962">
            <wp:simplePos x="0" y="0"/>
            <wp:positionH relativeFrom="column">
              <wp:posOffset>-5715</wp:posOffset>
            </wp:positionH>
            <wp:positionV relativeFrom="paragraph">
              <wp:posOffset>276860</wp:posOffset>
            </wp:positionV>
            <wp:extent cx="5624195" cy="4572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4195" cy="4572000"/>
                    </a:xfrm>
                    <a:prstGeom prst="rect">
                      <a:avLst/>
                    </a:prstGeom>
                    <a:noFill/>
                  </pic:spPr>
                </pic:pic>
              </a:graphicData>
            </a:graphic>
            <wp14:sizeRelH relativeFrom="page">
              <wp14:pctWidth>0</wp14:pctWidth>
            </wp14:sizeRelH>
            <wp14:sizeRelV relativeFrom="page">
              <wp14:pctHeight>0</wp14:pctHeight>
            </wp14:sizeRelV>
          </wp:anchor>
        </w:drawing>
      </w:r>
      <w:r w:rsidR="00162A42" w:rsidRPr="001E52FE">
        <w:t>H</w:t>
      </w:r>
      <w:r w:rsidR="009C49EC" w:rsidRPr="001E52FE">
        <w:t xml:space="preserve">ypothesized </w:t>
      </w:r>
      <w:r w:rsidR="00BD5870" w:rsidRPr="001E52FE">
        <w:t>APIM</w:t>
      </w:r>
    </w:p>
    <w:p w14:paraId="1B9311D3" w14:textId="3ED15618" w:rsidR="00895C2C" w:rsidRPr="001E52FE" w:rsidRDefault="00895C2C" w:rsidP="000330FC"/>
    <w:p w14:paraId="51483DF1" w14:textId="2235B286" w:rsidR="009C49EC" w:rsidRPr="001E52FE" w:rsidRDefault="009C49EC" w:rsidP="000330FC">
      <w:pPr>
        <w:spacing w:after="160"/>
        <w:rPr>
          <w:i/>
        </w:rPr>
      </w:pPr>
      <w:r w:rsidRPr="001E52FE">
        <w:rPr>
          <w:i/>
        </w:rPr>
        <w:t>Note.</w:t>
      </w:r>
      <w:r w:rsidRPr="001E52FE">
        <w:t xml:space="preserve"> </w:t>
      </w:r>
      <w:r w:rsidR="00CD0A6B" w:rsidRPr="001E52FE">
        <w:t xml:space="preserve">H1-H3 </w:t>
      </w:r>
      <w:r w:rsidR="00AD2905" w:rsidRPr="001E52FE">
        <w:t xml:space="preserve">and correlations </w:t>
      </w:r>
      <w:r w:rsidR="00CD0A6B" w:rsidRPr="001E52FE">
        <w:t xml:space="preserve">are </w:t>
      </w:r>
      <w:r w:rsidR="00587636" w:rsidRPr="001E52FE">
        <w:t>included in</w:t>
      </w:r>
      <w:r w:rsidR="00CD0A6B" w:rsidRPr="001E52FE">
        <w:t xml:space="preserve"> all models. </w:t>
      </w:r>
      <w:r w:rsidR="00BF6193" w:rsidRPr="001E52FE">
        <w:t>I</w:t>
      </w:r>
      <w:r w:rsidRPr="001E52FE">
        <w:t xml:space="preserve">P = </w:t>
      </w:r>
      <w:r w:rsidR="00020062" w:rsidRPr="001E52FE">
        <w:t>Independent P</w:t>
      </w:r>
      <w:r w:rsidR="00BF6193" w:rsidRPr="001E52FE">
        <w:t>erspectives model</w:t>
      </w:r>
      <w:r w:rsidRPr="001E52FE">
        <w:t xml:space="preserve">. </w:t>
      </w:r>
      <w:r w:rsidR="00D47797" w:rsidRPr="001E52FE">
        <w:t xml:space="preserve">RD </w:t>
      </w:r>
      <w:r w:rsidRPr="001E52FE">
        <w:t xml:space="preserve">= </w:t>
      </w:r>
      <w:r w:rsidR="00831004" w:rsidRPr="001E52FE">
        <w:t>R</w:t>
      </w:r>
      <w:r w:rsidR="00D47C2F" w:rsidRPr="001E52FE">
        <w:t>ecipient</w:t>
      </w:r>
      <w:r w:rsidR="00831004" w:rsidRPr="001E52FE">
        <w:t>-D</w:t>
      </w:r>
      <w:r w:rsidR="00D47C2F" w:rsidRPr="001E52FE">
        <w:t>ominant model</w:t>
      </w:r>
      <w:r w:rsidR="00BF118F" w:rsidRPr="001E52FE">
        <w:t xml:space="preserve">. </w:t>
      </w:r>
      <w:r w:rsidR="00911DF5" w:rsidRPr="001E52FE">
        <w:t>MI</w:t>
      </w:r>
      <w:r w:rsidRPr="001E52FE">
        <w:t xml:space="preserve">= </w:t>
      </w:r>
      <w:r w:rsidR="003C7E79" w:rsidRPr="001E52FE">
        <w:t>Mutual I</w:t>
      </w:r>
      <w:r w:rsidR="00911DF5" w:rsidRPr="001E52FE">
        <w:t>nfluence model</w:t>
      </w:r>
      <w:r w:rsidRPr="001E52FE">
        <w:t xml:space="preserve">. </w:t>
      </w:r>
    </w:p>
    <w:p w14:paraId="5B7D2A0E" w14:textId="77777777" w:rsidR="002B7F0F" w:rsidRPr="001E52FE" w:rsidRDefault="002B7F0F" w:rsidP="000330FC">
      <w:r w:rsidRPr="001E52FE">
        <w:rPr>
          <w:b/>
        </w:rPr>
        <w:br w:type="page"/>
      </w:r>
      <w:r w:rsidR="009C49EC" w:rsidRPr="001E52FE">
        <w:lastRenderedPageBreak/>
        <w:t>Figure 2</w:t>
      </w:r>
    </w:p>
    <w:p w14:paraId="3C142B49" w14:textId="6E01E40A" w:rsidR="009C49EC" w:rsidRPr="001E52FE" w:rsidRDefault="00F973BF" w:rsidP="00F973BF">
      <w:r w:rsidRPr="001E52FE">
        <w:rPr>
          <w:b/>
          <w:noProof/>
        </w:rPr>
        <w:drawing>
          <wp:anchor distT="0" distB="0" distL="114300" distR="114300" simplePos="0" relativeHeight="251661312" behindDoc="0" locked="0" layoutInCell="1" allowOverlap="1" wp14:anchorId="2364552F" wp14:editId="59779353">
            <wp:simplePos x="0" y="0"/>
            <wp:positionH relativeFrom="margin">
              <wp:posOffset>-635</wp:posOffset>
            </wp:positionH>
            <wp:positionV relativeFrom="paragraph">
              <wp:posOffset>255270</wp:posOffset>
            </wp:positionV>
            <wp:extent cx="5382895" cy="3657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82895" cy="3657600"/>
                    </a:xfrm>
                    <a:prstGeom prst="rect">
                      <a:avLst/>
                    </a:prstGeom>
                    <a:noFill/>
                  </pic:spPr>
                </pic:pic>
              </a:graphicData>
            </a:graphic>
            <wp14:sizeRelH relativeFrom="page">
              <wp14:pctWidth>0</wp14:pctWidth>
            </wp14:sizeRelH>
            <wp14:sizeRelV relativeFrom="page">
              <wp14:pctHeight>0</wp14:pctHeight>
            </wp14:sizeRelV>
          </wp:anchor>
        </w:drawing>
      </w:r>
      <w:r w:rsidR="009C49EC" w:rsidRPr="001E52FE">
        <w:t xml:space="preserve">Statistically Significant </w:t>
      </w:r>
      <w:r w:rsidR="00D34D37" w:rsidRPr="001E52FE">
        <w:t>Paths</w:t>
      </w:r>
      <w:r w:rsidRPr="001E52FE">
        <w:t xml:space="preserve"> of the </w:t>
      </w:r>
      <w:r w:rsidR="00EA2CED" w:rsidRPr="001E52FE">
        <w:t xml:space="preserve">Final </w:t>
      </w:r>
      <w:r w:rsidRPr="001E52FE">
        <w:t>APIM</w:t>
      </w:r>
    </w:p>
    <w:p w14:paraId="6CCD67DC" w14:textId="77777777" w:rsidR="00AF5568" w:rsidRPr="001E52FE" w:rsidRDefault="00AF5568" w:rsidP="000330FC">
      <w:r w:rsidRPr="001E52FE">
        <w:rPr>
          <w:i/>
        </w:rPr>
        <w:t xml:space="preserve">Note. </w:t>
      </w:r>
      <w:r w:rsidRPr="001E52FE">
        <w:t xml:space="preserve">Standardized path coefficients reported. </w:t>
      </w:r>
      <w:r w:rsidR="008E34B4" w:rsidRPr="001E52FE">
        <w:t xml:space="preserve">R-squared predicted variance displayed in upper right corner of endogenous variables. </w:t>
      </w:r>
      <w:r w:rsidR="0079554E" w:rsidRPr="001E52FE">
        <w:t>Exogenous covariances not pictured for parsimony.</w:t>
      </w:r>
      <w:r w:rsidR="00E91EAF" w:rsidRPr="001E52FE">
        <w:t xml:space="preserve"> Dashed lines represent marginally significant paths (i.e., </w:t>
      </w:r>
      <w:r w:rsidR="00E91EAF" w:rsidRPr="001E52FE">
        <w:rPr>
          <w:i/>
        </w:rPr>
        <w:t xml:space="preserve">p </w:t>
      </w:r>
      <w:r w:rsidR="00E91EAF" w:rsidRPr="001E52FE">
        <w:t>&lt; .10)</w:t>
      </w:r>
      <w:r w:rsidR="00316C97" w:rsidRPr="001E52FE">
        <w:t>. Black lines represent paths constrained across role; gray lines are not constrained.</w:t>
      </w:r>
    </w:p>
    <w:p w14:paraId="1F1642AF" w14:textId="77777777" w:rsidR="007E65B4" w:rsidRPr="00BD2B88" w:rsidRDefault="007E65B4" w:rsidP="000330FC">
      <w:pPr>
        <w:rPr>
          <w:i/>
          <w:szCs w:val="24"/>
        </w:rPr>
      </w:pPr>
      <w:r w:rsidRPr="001E52FE">
        <w:rPr>
          <w:rFonts w:eastAsia="Times New Roman" w:cs="Times New Roman"/>
          <w:b/>
          <w:color w:val="000000"/>
          <w:szCs w:val="24"/>
          <w:vertAlign w:val="superscript"/>
        </w:rPr>
        <w:t>+</w:t>
      </w:r>
      <w:r w:rsidRPr="001E52FE">
        <w:rPr>
          <w:i/>
          <w:szCs w:val="24"/>
        </w:rPr>
        <w:t xml:space="preserve">p </w:t>
      </w:r>
      <w:r w:rsidRPr="001E52FE">
        <w:rPr>
          <w:szCs w:val="24"/>
        </w:rPr>
        <w:t>&lt; .10,</w:t>
      </w:r>
      <w:r w:rsidRPr="001E52FE">
        <w:rPr>
          <w:i/>
          <w:szCs w:val="24"/>
        </w:rPr>
        <w:t xml:space="preserve"> *p </w:t>
      </w:r>
      <w:r w:rsidRPr="001E52FE">
        <w:rPr>
          <w:szCs w:val="24"/>
        </w:rPr>
        <w:t>&lt; .05, **</w:t>
      </w:r>
      <w:r w:rsidRPr="001E52FE">
        <w:rPr>
          <w:i/>
          <w:szCs w:val="24"/>
        </w:rPr>
        <w:t xml:space="preserve">p </w:t>
      </w:r>
      <w:r w:rsidRPr="001E52FE">
        <w:rPr>
          <w:szCs w:val="24"/>
        </w:rPr>
        <w:t>&lt; .01, ***</w:t>
      </w:r>
      <w:r w:rsidRPr="001E52FE">
        <w:rPr>
          <w:i/>
          <w:szCs w:val="24"/>
        </w:rPr>
        <w:t xml:space="preserve">p </w:t>
      </w:r>
      <w:r w:rsidRPr="001E52FE">
        <w:rPr>
          <w:szCs w:val="24"/>
        </w:rPr>
        <w:t>&lt; .001.</w:t>
      </w:r>
      <w:r w:rsidRPr="00BD2B88">
        <w:rPr>
          <w:i/>
          <w:szCs w:val="24"/>
        </w:rPr>
        <w:t xml:space="preserve"> </w:t>
      </w:r>
    </w:p>
    <w:p w14:paraId="3408EC72" w14:textId="77777777" w:rsidR="007E65B4" w:rsidRPr="00E91EAF" w:rsidRDefault="007E65B4" w:rsidP="000330FC">
      <w:pPr>
        <w:spacing w:after="160"/>
      </w:pPr>
    </w:p>
    <w:sectPr w:rsidR="007E65B4" w:rsidRPr="00E91EAF" w:rsidSect="00284E6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EDA17" w14:textId="77777777" w:rsidR="00A36E2E" w:rsidRDefault="00A36E2E" w:rsidP="00F02F95">
      <w:r>
        <w:separator/>
      </w:r>
    </w:p>
  </w:endnote>
  <w:endnote w:type="continuationSeparator" w:id="0">
    <w:p w14:paraId="0F6D13F5" w14:textId="77777777" w:rsidR="00A36E2E" w:rsidRDefault="00A36E2E" w:rsidP="00F0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76A8" w14:textId="77777777" w:rsidR="00956B19" w:rsidRDefault="00956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AE53A" w14:textId="77777777" w:rsidR="00956B19" w:rsidRDefault="00956B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FD5E9" w14:textId="77777777" w:rsidR="00956B19" w:rsidRDefault="00956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B52DA" w14:textId="77777777" w:rsidR="00A36E2E" w:rsidRDefault="00A36E2E" w:rsidP="00F02F95">
      <w:r>
        <w:separator/>
      </w:r>
    </w:p>
  </w:footnote>
  <w:footnote w:type="continuationSeparator" w:id="0">
    <w:p w14:paraId="14BDAB23" w14:textId="77777777" w:rsidR="00A36E2E" w:rsidRDefault="00A36E2E" w:rsidP="00F02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F8C34" w14:textId="0FDA7EF3" w:rsidR="00956B19" w:rsidRDefault="00956B19">
    <w:pPr>
      <w:pStyle w:val="Header"/>
    </w:pPr>
    <w:r>
      <w:t>THEORY OF DYADIC ADVICE PROCESS</w:t>
    </w:r>
    <w:r>
      <w:tab/>
    </w:r>
    <w:r>
      <w:tab/>
    </w:r>
    <w:r>
      <w:fldChar w:fldCharType="begin"/>
    </w:r>
    <w:r>
      <w:instrText xml:space="preserve"> PAGE   \* MERGEFORMAT </w:instrText>
    </w:r>
    <w:r>
      <w:fldChar w:fldCharType="separate"/>
    </w:r>
    <w:r w:rsidR="007F2B4A">
      <w:rPr>
        <w:noProof/>
      </w:rPr>
      <w:t>21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883B" w14:textId="25559623" w:rsidR="00956B19" w:rsidRDefault="00956B19">
    <w:pPr>
      <w:pStyle w:val="Header"/>
    </w:pPr>
    <w:r>
      <w:t>Running head: DYADIC PERSPECTIVES ON ADVICE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70B03" w14:textId="77777777" w:rsidR="00956B19" w:rsidRDefault="00956B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314E" w14:textId="79B72630" w:rsidR="00956B19" w:rsidRDefault="00956B19">
    <w:pPr>
      <w:pStyle w:val="Header"/>
    </w:pPr>
    <w:r>
      <w:t>THEORY OF DYADIC ADVICE PROCESS</w:t>
    </w:r>
    <w:r>
      <w:tab/>
    </w:r>
    <w:r>
      <w:tab/>
    </w:r>
    <w:r>
      <w:fldChar w:fldCharType="begin"/>
    </w:r>
    <w:r>
      <w:instrText xml:space="preserve"> PAGE   \* MERGEFORMAT </w:instrText>
    </w:r>
    <w:r>
      <w:fldChar w:fldCharType="separate"/>
    </w:r>
    <w:r w:rsidR="0048307D">
      <w:rPr>
        <w:noProof/>
      </w:rPr>
      <w:t>40</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3029" w14:textId="77777777" w:rsidR="00956B19" w:rsidRDefault="00956B19">
    <w:pPr>
      <w:pStyle w:val="Header"/>
    </w:pPr>
    <w:r>
      <w:t>Running head: THEORY OF DYADIC ADVICE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F1F"/>
    <w:multiLevelType w:val="hybridMultilevel"/>
    <w:tmpl w:val="F43C3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952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5156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DE0129"/>
    <w:multiLevelType w:val="hybridMultilevel"/>
    <w:tmpl w:val="4CB4EA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8FF6A40"/>
    <w:multiLevelType w:val="hybridMultilevel"/>
    <w:tmpl w:val="21505D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D6915"/>
    <w:multiLevelType w:val="hybridMultilevel"/>
    <w:tmpl w:val="23946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F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660263"/>
    <w:multiLevelType w:val="hybridMultilevel"/>
    <w:tmpl w:val="889E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543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F3791A"/>
    <w:multiLevelType w:val="hybridMultilevel"/>
    <w:tmpl w:val="4272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846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284A90"/>
    <w:multiLevelType w:val="hybridMultilevel"/>
    <w:tmpl w:val="71CAC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332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2E1D56"/>
    <w:multiLevelType w:val="hybridMultilevel"/>
    <w:tmpl w:val="65D6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F07ED"/>
    <w:multiLevelType w:val="hybridMultilevel"/>
    <w:tmpl w:val="88968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074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176BDB"/>
    <w:multiLevelType w:val="hybridMultilevel"/>
    <w:tmpl w:val="1EF0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324EA"/>
    <w:multiLevelType w:val="hybridMultilevel"/>
    <w:tmpl w:val="9DC4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92CFE"/>
    <w:multiLevelType w:val="hybridMultilevel"/>
    <w:tmpl w:val="8CA2C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D1731"/>
    <w:multiLevelType w:val="hybridMultilevel"/>
    <w:tmpl w:val="D6948098"/>
    <w:lvl w:ilvl="0" w:tplc="C0EA7C12">
      <w:start w:val="1"/>
      <w:numFmt w:val="bullet"/>
      <w:lvlText w:val="•"/>
      <w:lvlJc w:val="left"/>
      <w:pPr>
        <w:tabs>
          <w:tab w:val="num" w:pos="720"/>
        </w:tabs>
        <w:ind w:left="720" w:hanging="360"/>
      </w:pPr>
      <w:rPr>
        <w:rFonts w:ascii="Arial" w:hAnsi="Arial" w:hint="default"/>
      </w:rPr>
    </w:lvl>
    <w:lvl w:ilvl="1" w:tplc="281033A8" w:tentative="1">
      <w:start w:val="1"/>
      <w:numFmt w:val="bullet"/>
      <w:lvlText w:val="•"/>
      <w:lvlJc w:val="left"/>
      <w:pPr>
        <w:tabs>
          <w:tab w:val="num" w:pos="1440"/>
        </w:tabs>
        <w:ind w:left="1440" w:hanging="360"/>
      </w:pPr>
      <w:rPr>
        <w:rFonts w:ascii="Arial" w:hAnsi="Arial" w:hint="default"/>
      </w:rPr>
    </w:lvl>
    <w:lvl w:ilvl="2" w:tplc="11122764" w:tentative="1">
      <w:start w:val="1"/>
      <w:numFmt w:val="bullet"/>
      <w:lvlText w:val="•"/>
      <w:lvlJc w:val="left"/>
      <w:pPr>
        <w:tabs>
          <w:tab w:val="num" w:pos="2160"/>
        </w:tabs>
        <w:ind w:left="2160" w:hanging="360"/>
      </w:pPr>
      <w:rPr>
        <w:rFonts w:ascii="Arial" w:hAnsi="Arial" w:hint="default"/>
      </w:rPr>
    </w:lvl>
    <w:lvl w:ilvl="3" w:tplc="78802FCE" w:tentative="1">
      <w:start w:val="1"/>
      <w:numFmt w:val="bullet"/>
      <w:lvlText w:val="•"/>
      <w:lvlJc w:val="left"/>
      <w:pPr>
        <w:tabs>
          <w:tab w:val="num" w:pos="2880"/>
        </w:tabs>
        <w:ind w:left="2880" w:hanging="360"/>
      </w:pPr>
      <w:rPr>
        <w:rFonts w:ascii="Arial" w:hAnsi="Arial" w:hint="default"/>
      </w:rPr>
    </w:lvl>
    <w:lvl w:ilvl="4" w:tplc="7F2C58D0" w:tentative="1">
      <w:start w:val="1"/>
      <w:numFmt w:val="bullet"/>
      <w:lvlText w:val="•"/>
      <w:lvlJc w:val="left"/>
      <w:pPr>
        <w:tabs>
          <w:tab w:val="num" w:pos="3600"/>
        </w:tabs>
        <w:ind w:left="3600" w:hanging="360"/>
      </w:pPr>
      <w:rPr>
        <w:rFonts w:ascii="Arial" w:hAnsi="Arial" w:hint="default"/>
      </w:rPr>
    </w:lvl>
    <w:lvl w:ilvl="5" w:tplc="983EF53E" w:tentative="1">
      <w:start w:val="1"/>
      <w:numFmt w:val="bullet"/>
      <w:lvlText w:val="•"/>
      <w:lvlJc w:val="left"/>
      <w:pPr>
        <w:tabs>
          <w:tab w:val="num" w:pos="4320"/>
        </w:tabs>
        <w:ind w:left="4320" w:hanging="360"/>
      </w:pPr>
      <w:rPr>
        <w:rFonts w:ascii="Arial" w:hAnsi="Arial" w:hint="default"/>
      </w:rPr>
    </w:lvl>
    <w:lvl w:ilvl="6" w:tplc="09EC1FBA" w:tentative="1">
      <w:start w:val="1"/>
      <w:numFmt w:val="bullet"/>
      <w:lvlText w:val="•"/>
      <w:lvlJc w:val="left"/>
      <w:pPr>
        <w:tabs>
          <w:tab w:val="num" w:pos="5040"/>
        </w:tabs>
        <w:ind w:left="5040" w:hanging="360"/>
      </w:pPr>
      <w:rPr>
        <w:rFonts w:ascii="Arial" w:hAnsi="Arial" w:hint="default"/>
      </w:rPr>
    </w:lvl>
    <w:lvl w:ilvl="7" w:tplc="965AA73A" w:tentative="1">
      <w:start w:val="1"/>
      <w:numFmt w:val="bullet"/>
      <w:lvlText w:val="•"/>
      <w:lvlJc w:val="left"/>
      <w:pPr>
        <w:tabs>
          <w:tab w:val="num" w:pos="5760"/>
        </w:tabs>
        <w:ind w:left="5760" w:hanging="360"/>
      </w:pPr>
      <w:rPr>
        <w:rFonts w:ascii="Arial" w:hAnsi="Arial" w:hint="default"/>
      </w:rPr>
    </w:lvl>
    <w:lvl w:ilvl="8" w:tplc="D2A823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9A04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D2D6A67"/>
    <w:multiLevelType w:val="hybridMultilevel"/>
    <w:tmpl w:val="63BA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40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2"/>
  </w:num>
  <w:num w:numId="3">
    <w:abstractNumId w:val="15"/>
  </w:num>
  <w:num w:numId="4">
    <w:abstractNumId w:val="20"/>
  </w:num>
  <w:num w:numId="5">
    <w:abstractNumId w:val="6"/>
  </w:num>
  <w:num w:numId="6">
    <w:abstractNumId w:val="10"/>
  </w:num>
  <w:num w:numId="7">
    <w:abstractNumId w:val="12"/>
  </w:num>
  <w:num w:numId="8">
    <w:abstractNumId w:val="8"/>
  </w:num>
  <w:num w:numId="9">
    <w:abstractNumId w:val="2"/>
  </w:num>
  <w:num w:numId="10">
    <w:abstractNumId w:val="19"/>
  </w:num>
  <w:num w:numId="11">
    <w:abstractNumId w:val="18"/>
  </w:num>
  <w:num w:numId="12">
    <w:abstractNumId w:val="21"/>
  </w:num>
  <w:num w:numId="13">
    <w:abstractNumId w:val="16"/>
  </w:num>
  <w:num w:numId="14">
    <w:abstractNumId w:val="3"/>
  </w:num>
  <w:num w:numId="15">
    <w:abstractNumId w:val="17"/>
  </w:num>
  <w:num w:numId="16">
    <w:abstractNumId w:val="4"/>
  </w:num>
  <w:num w:numId="17">
    <w:abstractNumId w:val="7"/>
  </w:num>
  <w:num w:numId="18">
    <w:abstractNumId w:val="14"/>
  </w:num>
  <w:num w:numId="19">
    <w:abstractNumId w:val="9"/>
  </w:num>
  <w:num w:numId="20">
    <w:abstractNumId w:val="11"/>
  </w:num>
  <w:num w:numId="21">
    <w:abstractNumId w:val="5"/>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E9"/>
    <w:rsid w:val="00000176"/>
    <w:rsid w:val="000005DE"/>
    <w:rsid w:val="00000A26"/>
    <w:rsid w:val="00001B4E"/>
    <w:rsid w:val="00001FAE"/>
    <w:rsid w:val="000026EA"/>
    <w:rsid w:val="000029AE"/>
    <w:rsid w:val="00002D2C"/>
    <w:rsid w:val="00003391"/>
    <w:rsid w:val="00003472"/>
    <w:rsid w:val="000035D4"/>
    <w:rsid w:val="00003FFD"/>
    <w:rsid w:val="0000404B"/>
    <w:rsid w:val="000044AA"/>
    <w:rsid w:val="000045A3"/>
    <w:rsid w:val="00004ACA"/>
    <w:rsid w:val="00004C45"/>
    <w:rsid w:val="00005BEE"/>
    <w:rsid w:val="00006882"/>
    <w:rsid w:val="00006FB4"/>
    <w:rsid w:val="00007BD4"/>
    <w:rsid w:val="0001035C"/>
    <w:rsid w:val="000108E3"/>
    <w:rsid w:val="00010AE1"/>
    <w:rsid w:val="00010F8F"/>
    <w:rsid w:val="00011073"/>
    <w:rsid w:val="0001143E"/>
    <w:rsid w:val="00011B78"/>
    <w:rsid w:val="00011BD0"/>
    <w:rsid w:val="00012F5B"/>
    <w:rsid w:val="0001354B"/>
    <w:rsid w:val="00013A84"/>
    <w:rsid w:val="00013B5E"/>
    <w:rsid w:val="00013C05"/>
    <w:rsid w:val="00014A3A"/>
    <w:rsid w:val="000150CF"/>
    <w:rsid w:val="0001532D"/>
    <w:rsid w:val="000155CD"/>
    <w:rsid w:val="00015AC6"/>
    <w:rsid w:val="00015F2B"/>
    <w:rsid w:val="00016148"/>
    <w:rsid w:val="00016292"/>
    <w:rsid w:val="000163CF"/>
    <w:rsid w:val="000164AC"/>
    <w:rsid w:val="000164E0"/>
    <w:rsid w:val="00017011"/>
    <w:rsid w:val="000172CF"/>
    <w:rsid w:val="0001735A"/>
    <w:rsid w:val="00017531"/>
    <w:rsid w:val="000177F3"/>
    <w:rsid w:val="000179F6"/>
    <w:rsid w:val="00017D89"/>
    <w:rsid w:val="00017F5F"/>
    <w:rsid w:val="00017FA1"/>
    <w:rsid w:val="00020062"/>
    <w:rsid w:val="0002065C"/>
    <w:rsid w:val="000207A9"/>
    <w:rsid w:val="00020D50"/>
    <w:rsid w:val="0002149A"/>
    <w:rsid w:val="00021895"/>
    <w:rsid w:val="00021A65"/>
    <w:rsid w:val="00021B1B"/>
    <w:rsid w:val="00021E26"/>
    <w:rsid w:val="000228C1"/>
    <w:rsid w:val="00022A70"/>
    <w:rsid w:val="0002317A"/>
    <w:rsid w:val="000238F7"/>
    <w:rsid w:val="00023984"/>
    <w:rsid w:val="00024906"/>
    <w:rsid w:val="00024A61"/>
    <w:rsid w:val="00025A24"/>
    <w:rsid w:val="00025EF6"/>
    <w:rsid w:val="00026291"/>
    <w:rsid w:val="000266A5"/>
    <w:rsid w:val="000268B0"/>
    <w:rsid w:val="000269E0"/>
    <w:rsid w:val="00026AE1"/>
    <w:rsid w:val="00027255"/>
    <w:rsid w:val="00027BE2"/>
    <w:rsid w:val="00030998"/>
    <w:rsid w:val="00031047"/>
    <w:rsid w:val="000311E6"/>
    <w:rsid w:val="000315C6"/>
    <w:rsid w:val="00031600"/>
    <w:rsid w:val="00031C42"/>
    <w:rsid w:val="00031DD7"/>
    <w:rsid w:val="00031F4C"/>
    <w:rsid w:val="000323FB"/>
    <w:rsid w:val="00032678"/>
    <w:rsid w:val="00032AD0"/>
    <w:rsid w:val="00032EBE"/>
    <w:rsid w:val="0003301F"/>
    <w:rsid w:val="000330FC"/>
    <w:rsid w:val="00033462"/>
    <w:rsid w:val="000335C6"/>
    <w:rsid w:val="00033A1B"/>
    <w:rsid w:val="00033F4E"/>
    <w:rsid w:val="00034210"/>
    <w:rsid w:val="00034BFE"/>
    <w:rsid w:val="00034DC7"/>
    <w:rsid w:val="00035BFA"/>
    <w:rsid w:val="000363C4"/>
    <w:rsid w:val="0003647D"/>
    <w:rsid w:val="00036761"/>
    <w:rsid w:val="00036F75"/>
    <w:rsid w:val="00036FC6"/>
    <w:rsid w:val="0003759E"/>
    <w:rsid w:val="000376B3"/>
    <w:rsid w:val="00037990"/>
    <w:rsid w:val="000379FF"/>
    <w:rsid w:val="00037EC7"/>
    <w:rsid w:val="00037EF2"/>
    <w:rsid w:val="0004013E"/>
    <w:rsid w:val="00040383"/>
    <w:rsid w:val="000404BA"/>
    <w:rsid w:val="000405AA"/>
    <w:rsid w:val="00040745"/>
    <w:rsid w:val="00040AAA"/>
    <w:rsid w:val="00041104"/>
    <w:rsid w:val="0004127F"/>
    <w:rsid w:val="000412FB"/>
    <w:rsid w:val="00041A29"/>
    <w:rsid w:val="0004203B"/>
    <w:rsid w:val="000421A5"/>
    <w:rsid w:val="00042270"/>
    <w:rsid w:val="000422EB"/>
    <w:rsid w:val="000423FA"/>
    <w:rsid w:val="000424AF"/>
    <w:rsid w:val="000425C4"/>
    <w:rsid w:val="000426F3"/>
    <w:rsid w:val="00042ED8"/>
    <w:rsid w:val="00043103"/>
    <w:rsid w:val="00043230"/>
    <w:rsid w:val="000433ED"/>
    <w:rsid w:val="00043507"/>
    <w:rsid w:val="00043786"/>
    <w:rsid w:val="00043D6D"/>
    <w:rsid w:val="00044382"/>
    <w:rsid w:val="00044389"/>
    <w:rsid w:val="00044695"/>
    <w:rsid w:val="00044886"/>
    <w:rsid w:val="00044999"/>
    <w:rsid w:val="00044B49"/>
    <w:rsid w:val="00044C12"/>
    <w:rsid w:val="00044C68"/>
    <w:rsid w:val="00044CB5"/>
    <w:rsid w:val="00044CE4"/>
    <w:rsid w:val="00044D15"/>
    <w:rsid w:val="00044E2E"/>
    <w:rsid w:val="00044F16"/>
    <w:rsid w:val="000452F7"/>
    <w:rsid w:val="00045370"/>
    <w:rsid w:val="0004551A"/>
    <w:rsid w:val="00045A61"/>
    <w:rsid w:val="000460FD"/>
    <w:rsid w:val="0004681C"/>
    <w:rsid w:val="00047008"/>
    <w:rsid w:val="0004744B"/>
    <w:rsid w:val="0004758A"/>
    <w:rsid w:val="0004795C"/>
    <w:rsid w:val="00047A9E"/>
    <w:rsid w:val="00047BC2"/>
    <w:rsid w:val="0005047A"/>
    <w:rsid w:val="000513DC"/>
    <w:rsid w:val="000514BD"/>
    <w:rsid w:val="000515DB"/>
    <w:rsid w:val="000517A4"/>
    <w:rsid w:val="00051C93"/>
    <w:rsid w:val="00051CEF"/>
    <w:rsid w:val="00051CFD"/>
    <w:rsid w:val="00051F12"/>
    <w:rsid w:val="00052188"/>
    <w:rsid w:val="0005241A"/>
    <w:rsid w:val="00052442"/>
    <w:rsid w:val="000527D8"/>
    <w:rsid w:val="00052857"/>
    <w:rsid w:val="00052D33"/>
    <w:rsid w:val="00052D74"/>
    <w:rsid w:val="00053190"/>
    <w:rsid w:val="00053C8E"/>
    <w:rsid w:val="00053D20"/>
    <w:rsid w:val="00053FCC"/>
    <w:rsid w:val="00054805"/>
    <w:rsid w:val="00054FBA"/>
    <w:rsid w:val="00055051"/>
    <w:rsid w:val="0005567A"/>
    <w:rsid w:val="000563D3"/>
    <w:rsid w:val="00056572"/>
    <w:rsid w:val="00056703"/>
    <w:rsid w:val="00056C5B"/>
    <w:rsid w:val="00056FAE"/>
    <w:rsid w:val="000575AF"/>
    <w:rsid w:val="0005769B"/>
    <w:rsid w:val="00057F7F"/>
    <w:rsid w:val="000604C3"/>
    <w:rsid w:val="000606C8"/>
    <w:rsid w:val="00061AA6"/>
    <w:rsid w:val="00061C2C"/>
    <w:rsid w:val="00061F00"/>
    <w:rsid w:val="00062670"/>
    <w:rsid w:val="000626BF"/>
    <w:rsid w:val="000626E9"/>
    <w:rsid w:val="00062B64"/>
    <w:rsid w:val="00062DF0"/>
    <w:rsid w:val="0006333E"/>
    <w:rsid w:val="00063A77"/>
    <w:rsid w:val="000643EC"/>
    <w:rsid w:val="00064427"/>
    <w:rsid w:val="00065077"/>
    <w:rsid w:val="00065538"/>
    <w:rsid w:val="000655C1"/>
    <w:rsid w:val="000658CE"/>
    <w:rsid w:val="00065F21"/>
    <w:rsid w:val="00066240"/>
    <w:rsid w:val="00066754"/>
    <w:rsid w:val="00066C12"/>
    <w:rsid w:val="00066CFA"/>
    <w:rsid w:val="00067AF4"/>
    <w:rsid w:val="00067F87"/>
    <w:rsid w:val="000700A0"/>
    <w:rsid w:val="00070229"/>
    <w:rsid w:val="00070685"/>
    <w:rsid w:val="00070BFA"/>
    <w:rsid w:val="00071063"/>
    <w:rsid w:val="00071387"/>
    <w:rsid w:val="00071737"/>
    <w:rsid w:val="00071D4A"/>
    <w:rsid w:val="000722E1"/>
    <w:rsid w:val="000727FC"/>
    <w:rsid w:val="00072BD4"/>
    <w:rsid w:val="00073019"/>
    <w:rsid w:val="000733BF"/>
    <w:rsid w:val="00073851"/>
    <w:rsid w:val="00073B6B"/>
    <w:rsid w:val="00074221"/>
    <w:rsid w:val="0007431D"/>
    <w:rsid w:val="00076014"/>
    <w:rsid w:val="0007614D"/>
    <w:rsid w:val="00076181"/>
    <w:rsid w:val="000761F5"/>
    <w:rsid w:val="000764BB"/>
    <w:rsid w:val="0007668B"/>
    <w:rsid w:val="00076734"/>
    <w:rsid w:val="000773F1"/>
    <w:rsid w:val="00077A70"/>
    <w:rsid w:val="00077E4D"/>
    <w:rsid w:val="0008002F"/>
    <w:rsid w:val="00080032"/>
    <w:rsid w:val="00080651"/>
    <w:rsid w:val="00080DB0"/>
    <w:rsid w:val="00080E39"/>
    <w:rsid w:val="0008134F"/>
    <w:rsid w:val="000816D8"/>
    <w:rsid w:val="00082D34"/>
    <w:rsid w:val="00082F23"/>
    <w:rsid w:val="00083181"/>
    <w:rsid w:val="0008379E"/>
    <w:rsid w:val="00083E60"/>
    <w:rsid w:val="00083EFD"/>
    <w:rsid w:val="0008406D"/>
    <w:rsid w:val="000840D2"/>
    <w:rsid w:val="00084AB1"/>
    <w:rsid w:val="00084D3E"/>
    <w:rsid w:val="000853F5"/>
    <w:rsid w:val="00085605"/>
    <w:rsid w:val="00085DB9"/>
    <w:rsid w:val="00085ED2"/>
    <w:rsid w:val="00086201"/>
    <w:rsid w:val="000862AD"/>
    <w:rsid w:val="000866C1"/>
    <w:rsid w:val="00086A02"/>
    <w:rsid w:val="00086C24"/>
    <w:rsid w:val="00086D26"/>
    <w:rsid w:val="00086E15"/>
    <w:rsid w:val="00087133"/>
    <w:rsid w:val="00087584"/>
    <w:rsid w:val="0008790E"/>
    <w:rsid w:val="00087993"/>
    <w:rsid w:val="00087D22"/>
    <w:rsid w:val="0009025B"/>
    <w:rsid w:val="0009140A"/>
    <w:rsid w:val="00091764"/>
    <w:rsid w:val="00091FF2"/>
    <w:rsid w:val="00092CBB"/>
    <w:rsid w:val="00093093"/>
    <w:rsid w:val="000934EB"/>
    <w:rsid w:val="00093600"/>
    <w:rsid w:val="000937C4"/>
    <w:rsid w:val="00093846"/>
    <w:rsid w:val="00093DFF"/>
    <w:rsid w:val="0009461C"/>
    <w:rsid w:val="000949F8"/>
    <w:rsid w:val="00094AA7"/>
    <w:rsid w:val="00094C1E"/>
    <w:rsid w:val="00094D7C"/>
    <w:rsid w:val="000950DB"/>
    <w:rsid w:val="000950EE"/>
    <w:rsid w:val="0009561F"/>
    <w:rsid w:val="0009580F"/>
    <w:rsid w:val="000958E1"/>
    <w:rsid w:val="00095BC0"/>
    <w:rsid w:val="00095D34"/>
    <w:rsid w:val="00095DDE"/>
    <w:rsid w:val="00096083"/>
    <w:rsid w:val="00096BDF"/>
    <w:rsid w:val="000971E0"/>
    <w:rsid w:val="0009752F"/>
    <w:rsid w:val="00097879"/>
    <w:rsid w:val="000978A9"/>
    <w:rsid w:val="00097D54"/>
    <w:rsid w:val="00097F11"/>
    <w:rsid w:val="00097FA1"/>
    <w:rsid w:val="000A03CD"/>
    <w:rsid w:val="000A0836"/>
    <w:rsid w:val="000A1102"/>
    <w:rsid w:val="000A12BC"/>
    <w:rsid w:val="000A12D4"/>
    <w:rsid w:val="000A19E6"/>
    <w:rsid w:val="000A1C18"/>
    <w:rsid w:val="000A225B"/>
    <w:rsid w:val="000A28A2"/>
    <w:rsid w:val="000A28AF"/>
    <w:rsid w:val="000A2B02"/>
    <w:rsid w:val="000A30CE"/>
    <w:rsid w:val="000A34BE"/>
    <w:rsid w:val="000A3540"/>
    <w:rsid w:val="000A36C3"/>
    <w:rsid w:val="000A3938"/>
    <w:rsid w:val="000A3BE0"/>
    <w:rsid w:val="000A44A6"/>
    <w:rsid w:val="000A4645"/>
    <w:rsid w:val="000A4AB1"/>
    <w:rsid w:val="000A4D53"/>
    <w:rsid w:val="000A4FA1"/>
    <w:rsid w:val="000A508D"/>
    <w:rsid w:val="000A55EB"/>
    <w:rsid w:val="000A58A0"/>
    <w:rsid w:val="000A5C62"/>
    <w:rsid w:val="000A5F7D"/>
    <w:rsid w:val="000A6618"/>
    <w:rsid w:val="000A6828"/>
    <w:rsid w:val="000A6C95"/>
    <w:rsid w:val="000A70E8"/>
    <w:rsid w:val="000A7195"/>
    <w:rsid w:val="000A74B4"/>
    <w:rsid w:val="000A7DA4"/>
    <w:rsid w:val="000A7E43"/>
    <w:rsid w:val="000A7E4B"/>
    <w:rsid w:val="000B0721"/>
    <w:rsid w:val="000B077A"/>
    <w:rsid w:val="000B0A7A"/>
    <w:rsid w:val="000B0EAB"/>
    <w:rsid w:val="000B1401"/>
    <w:rsid w:val="000B1A37"/>
    <w:rsid w:val="000B1E9E"/>
    <w:rsid w:val="000B1F0D"/>
    <w:rsid w:val="000B20DF"/>
    <w:rsid w:val="000B2420"/>
    <w:rsid w:val="000B2764"/>
    <w:rsid w:val="000B2825"/>
    <w:rsid w:val="000B285E"/>
    <w:rsid w:val="000B2F06"/>
    <w:rsid w:val="000B32E9"/>
    <w:rsid w:val="000B3342"/>
    <w:rsid w:val="000B334C"/>
    <w:rsid w:val="000B3690"/>
    <w:rsid w:val="000B3769"/>
    <w:rsid w:val="000B3838"/>
    <w:rsid w:val="000B455D"/>
    <w:rsid w:val="000B4EB8"/>
    <w:rsid w:val="000B509E"/>
    <w:rsid w:val="000B51EC"/>
    <w:rsid w:val="000B5308"/>
    <w:rsid w:val="000B53A0"/>
    <w:rsid w:val="000B5511"/>
    <w:rsid w:val="000B57A7"/>
    <w:rsid w:val="000B5F70"/>
    <w:rsid w:val="000B611B"/>
    <w:rsid w:val="000B62A6"/>
    <w:rsid w:val="000B62E0"/>
    <w:rsid w:val="000B66F4"/>
    <w:rsid w:val="000B6B16"/>
    <w:rsid w:val="000B6F96"/>
    <w:rsid w:val="000B7FA9"/>
    <w:rsid w:val="000C058A"/>
    <w:rsid w:val="000C0863"/>
    <w:rsid w:val="000C0EF0"/>
    <w:rsid w:val="000C1237"/>
    <w:rsid w:val="000C15B4"/>
    <w:rsid w:val="000C166E"/>
    <w:rsid w:val="000C1EB9"/>
    <w:rsid w:val="000C232A"/>
    <w:rsid w:val="000C25B6"/>
    <w:rsid w:val="000C314C"/>
    <w:rsid w:val="000C3BBC"/>
    <w:rsid w:val="000C3EB3"/>
    <w:rsid w:val="000C42F1"/>
    <w:rsid w:val="000C470D"/>
    <w:rsid w:val="000C4882"/>
    <w:rsid w:val="000C48B1"/>
    <w:rsid w:val="000C4B15"/>
    <w:rsid w:val="000C4DD0"/>
    <w:rsid w:val="000C51BF"/>
    <w:rsid w:val="000C5826"/>
    <w:rsid w:val="000C6273"/>
    <w:rsid w:val="000C65D4"/>
    <w:rsid w:val="000C6BEB"/>
    <w:rsid w:val="000C6E01"/>
    <w:rsid w:val="000C767F"/>
    <w:rsid w:val="000C773D"/>
    <w:rsid w:val="000C78F5"/>
    <w:rsid w:val="000C7966"/>
    <w:rsid w:val="000C7DE3"/>
    <w:rsid w:val="000D07E7"/>
    <w:rsid w:val="000D08B1"/>
    <w:rsid w:val="000D0A6E"/>
    <w:rsid w:val="000D0B84"/>
    <w:rsid w:val="000D1518"/>
    <w:rsid w:val="000D1D8A"/>
    <w:rsid w:val="000D1F15"/>
    <w:rsid w:val="000D205D"/>
    <w:rsid w:val="000D2784"/>
    <w:rsid w:val="000D285F"/>
    <w:rsid w:val="000D2A76"/>
    <w:rsid w:val="000D30A5"/>
    <w:rsid w:val="000D34CC"/>
    <w:rsid w:val="000D365E"/>
    <w:rsid w:val="000D3AE3"/>
    <w:rsid w:val="000D3B7C"/>
    <w:rsid w:val="000D4230"/>
    <w:rsid w:val="000D4266"/>
    <w:rsid w:val="000D4436"/>
    <w:rsid w:val="000D443A"/>
    <w:rsid w:val="000D47DE"/>
    <w:rsid w:val="000D4E76"/>
    <w:rsid w:val="000D4F83"/>
    <w:rsid w:val="000D5275"/>
    <w:rsid w:val="000D5613"/>
    <w:rsid w:val="000D569B"/>
    <w:rsid w:val="000D5996"/>
    <w:rsid w:val="000D62B0"/>
    <w:rsid w:val="000D667E"/>
    <w:rsid w:val="000D68CB"/>
    <w:rsid w:val="000D6A24"/>
    <w:rsid w:val="000D6F2E"/>
    <w:rsid w:val="000D6F4C"/>
    <w:rsid w:val="000D746C"/>
    <w:rsid w:val="000D7F5F"/>
    <w:rsid w:val="000E00FC"/>
    <w:rsid w:val="000E053F"/>
    <w:rsid w:val="000E06CC"/>
    <w:rsid w:val="000E0FDC"/>
    <w:rsid w:val="000E1360"/>
    <w:rsid w:val="000E16DD"/>
    <w:rsid w:val="000E1706"/>
    <w:rsid w:val="000E1F5D"/>
    <w:rsid w:val="000E20F0"/>
    <w:rsid w:val="000E21ED"/>
    <w:rsid w:val="000E2A51"/>
    <w:rsid w:val="000E360E"/>
    <w:rsid w:val="000E3643"/>
    <w:rsid w:val="000E373A"/>
    <w:rsid w:val="000E3C8B"/>
    <w:rsid w:val="000E4EF7"/>
    <w:rsid w:val="000E50D0"/>
    <w:rsid w:val="000E5122"/>
    <w:rsid w:val="000E53C0"/>
    <w:rsid w:val="000E53F1"/>
    <w:rsid w:val="000E547A"/>
    <w:rsid w:val="000E547F"/>
    <w:rsid w:val="000E5518"/>
    <w:rsid w:val="000E583F"/>
    <w:rsid w:val="000E5E03"/>
    <w:rsid w:val="000E6343"/>
    <w:rsid w:val="000E6358"/>
    <w:rsid w:val="000E63BB"/>
    <w:rsid w:val="000E6A15"/>
    <w:rsid w:val="000E6BCE"/>
    <w:rsid w:val="000E6D77"/>
    <w:rsid w:val="000E6F11"/>
    <w:rsid w:val="000E7293"/>
    <w:rsid w:val="000E7532"/>
    <w:rsid w:val="000E75FD"/>
    <w:rsid w:val="000E777B"/>
    <w:rsid w:val="000E7C42"/>
    <w:rsid w:val="000E7C58"/>
    <w:rsid w:val="000F0604"/>
    <w:rsid w:val="000F0723"/>
    <w:rsid w:val="000F0853"/>
    <w:rsid w:val="000F0AD6"/>
    <w:rsid w:val="000F0BBA"/>
    <w:rsid w:val="000F0DD5"/>
    <w:rsid w:val="000F0F2C"/>
    <w:rsid w:val="000F0F64"/>
    <w:rsid w:val="000F1345"/>
    <w:rsid w:val="000F159F"/>
    <w:rsid w:val="000F17E7"/>
    <w:rsid w:val="000F20F3"/>
    <w:rsid w:val="000F233F"/>
    <w:rsid w:val="000F242A"/>
    <w:rsid w:val="000F26BE"/>
    <w:rsid w:val="000F2887"/>
    <w:rsid w:val="000F29A8"/>
    <w:rsid w:val="000F2BA1"/>
    <w:rsid w:val="000F3220"/>
    <w:rsid w:val="000F3A6B"/>
    <w:rsid w:val="000F3DD3"/>
    <w:rsid w:val="000F420D"/>
    <w:rsid w:val="000F4693"/>
    <w:rsid w:val="000F5495"/>
    <w:rsid w:val="000F57A8"/>
    <w:rsid w:val="000F5AA2"/>
    <w:rsid w:val="000F5DAE"/>
    <w:rsid w:val="000F5DCB"/>
    <w:rsid w:val="000F74E0"/>
    <w:rsid w:val="000F78A7"/>
    <w:rsid w:val="0010022C"/>
    <w:rsid w:val="001008AA"/>
    <w:rsid w:val="00100A40"/>
    <w:rsid w:val="00100BCE"/>
    <w:rsid w:val="00100DB5"/>
    <w:rsid w:val="00100E34"/>
    <w:rsid w:val="00100EE6"/>
    <w:rsid w:val="001011BE"/>
    <w:rsid w:val="00101340"/>
    <w:rsid w:val="0010145C"/>
    <w:rsid w:val="001014EC"/>
    <w:rsid w:val="00102505"/>
    <w:rsid w:val="00102698"/>
    <w:rsid w:val="001028BE"/>
    <w:rsid w:val="001030F6"/>
    <w:rsid w:val="001031E8"/>
    <w:rsid w:val="00103918"/>
    <w:rsid w:val="0010392D"/>
    <w:rsid w:val="00104162"/>
    <w:rsid w:val="001041FD"/>
    <w:rsid w:val="00105936"/>
    <w:rsid w:val="00105AAB"/>
    <w:rsid w:val="001060B2"/>
    <w:rsid w:val="00106586"/>
    <w:rsid w:val="00106791"/>
    <w:rsid w:val="00106856"/>
    <w:rsid w:val="001068DA"/>
    <w:rsid w:val="00106CBD"/>
    <w:rsid w:val="001071F5"/>
    <w:rsid w:val="001073E6"/>
    <w:rsid w:val="001075DC"/>
    <w:rsid w:val="001078AC"/>
    <w:rsid w:val="00107D84"/>
    <w:rsid w:val="001101C2"/>
    <w:rsid w:val="00110954"/>
    <w:rsid w:val="00110B52"/>
    <w:rsid w:val="00110F75"/>
    <w:rsid w:val="001111AB"/>
    <w:rsid w:val="00111653"/>
    <w:rsid w:val="00111C75"/>
    <w:rsid w:val="00112069"/>
    <w:rsid w:val="00112103"/>
    <w:rsid w:val="00112284"/>
    <w:rsid w:val="00112399"/>
    <w:rsid w:val="00112645"/>
    <w:rsid w:val="001129D0"/>
    <w:rsid w:val="00112C0C"/>
    <w:rsid w:val="00113741"/>
    <w:rsid w:val="0011386D"/>
    <w:rsid w:val="00113C01"/>
    <w:rsid w:val="001144AA"/>
    <w:rsid w:val="00114A69"/>
    <w:rsid w:val="00114A8F"/>
    <w:rsid w:val="00115028"/>
    <w:rsid w:val="001153A2"/>
    <w:rsid w:val="0011592D"/>
    <w:rsid w:val="00116175"/>
    <w:rsid w:val="00116521"/>
    <w:rsid w:val="001165A6"/>
    <w:rsid w:val="00116811"/>
    <w:rsid w:val="00117BD4"/>
    <w:rsid w:val="00117CC6"/>
    <w:rsid w:val="00117CE6"/>
    <w:rsid w:val="00117EE7"/>
    <w:rsid w:val="00120719"/>
    <w:rsid w:val="00120AAA"/>
    <w:rsid w:val="00121A1D"/>
    <w:rsid w:val="00121E15"/>
    <w:rsid w:val="00122230"/>
    <w:rsid w:val="00122702"/>
    <w:rsid w:val="0012292B"/>
    <w:rsid w:val="00122A66"/>
    <w:rsid w:val="00122B47"/>
    <w:rsid w:val="00122E56"/>
    <w:rsid w:val="00123717"/>
    <w:rsid w:val="00123C51"/>
    <w:rsid w:val="00123D97"/>
    <w:rsid w:val="00124522"/>
    <w:rsid w:val="0012494F"/>
    <w:rsid w:val="00124A5F"/>
    <w:rsid w:val="00124B6D"/>
    <w:rsid w:val="00124CC7"/>
    <w:rsid w:val="00124E21"/>
    <w:rsid w:val="00125115"/>
    <w:rsid w:val="0012540B"/>
    <w:rsid w:val="001256B4"/>
    <w:rsid w:val="00125E9D"/>
    <w:rsid w:val="001261A4"/>
    <w:rsid w:val="001269CC"/>
    <w:rsid w:val="00126BB7"/>
    <w:rsid w:val="00127052"/>
    <w:rsid w:val="00127916"/>
    <w:rsid w:val="00127994"/>
    <w:rsid w:val="00127F53"/>
    <w:rsid w:val="00127F69"/>
    <w:rsid w:val="001303EF"/>
    <w:rsid w:val="00130499"/>
    <w:rsid w:val="001307C9"/>
    <w:rsid w:val="00130BF9"/>
    <w:rsid w:val="0013106E"/>
    <w:rsid w:val="001313DA"/>
    <w:rsid w:val="00131484"/>
    <w:rsid w:val="00131C18"/>
    <w:rsid w:val="00132088"/>
    <w:rsid w:val="0013249E"/>
    <w:rsid w:val="00132531"/>
    <w:rsid w:val="001325D5"/>
    <w:rsid w:val="001326CA"/>
    <w:rsid w:val="0013282E"/>
    <w:rsid w:val="001331C4"/>
    <w:rsid w:val="001333D6"/>
    <w:rsid w:val="00133413"/>
    <w:rsid w:val="00133B88"/>
    <w:rsid w:val="00133F00"/>
    <w:rsid w:val="00133FE4"/>
    <w:rsid w:val="0013404C"/>
    <w:rsid w:val="00134116"/>
    <w:rsid w:val="00134880"/>
    <w:rsid w:val="001348AF"/>
    <w:rsid w:val="00134D67"/>
    <w:rsid w:val="00134DD4"/>
    <w:rsid w:val="00135B6C"/>
    <w:rsid w:val="00136531"/>
    <w:rsid w:val="00136867"/>
    <w:rsid w:val="00136BF0"/>
    <w:rsid w:val="00136D88"/>
    <w:rsid w:val="00136DA5"/>
    <w:rsid w:val="001375F2"/>
    <w:rsid w:val="001378F8"/>
    <w:rsid w:val="00137DCC"/>
    <w:rsid w:val="00140503"/>
    <w:rsid w:val="00140749"/>
    <w:rsid w:val="00140C32"/>
    <w:rsid w:val="0014144E"/>
    <w:rsid w:val="001416D2"/>
    <w:rsid w:val="001418A1"/>
    <w:rsid w:val="00141BFC"/>
    <w:rsid w:val="00141F67"/>
    <w:rsid w:val="001425FF"/>
    <w:rsid w:val="00142738"/>
    <w:rsid w:val="00142898"/>
    <w:rsid w:val="00142ABA"/>
    <w:rsid w:val="00142B99"/>
    <w:rsid w:val="0014337D"/>
    <w:rsid w:val="001444FF"/>
    <w:rsid w:val="001445EE"/>
    <w:rsid w:val="001446BD"/>
    <w:rsid w:val="00144761"/>
    <w:rsid w:val="00144C84"/>
    <w:rsid w:val="00144D2B"/>
    <w:rsid w:val="00145386"/>
    <w:rsid w:val="00145F9A"/>
    <w:rsid w:val="00146511"/>
    <w:rsid w:val="00146514"/>
    <w:rsid w:val="00146671"/>
    <w:rsid w:val="001468B0"/>
    <w:rsid w:val="001469EF"/>
    <w:rsid w:val="00146DE0"/>
    <w:rsid w:val="00146E73"/>
    <w:rsid w:val="00150016"/>
    <w:rsid w:val="00150F6A"/>
    <w:rsid w:val="00151355"/>
    <w:rsid w:val="00151B60"/>
    <w:rsid w:val="00151D02"/>
    <w:rsid w:val="001528D9"/>
    <w:rsid w:val="00152930"/>
    <w:rsid w:val="001534EE"/>
    <w:rsid w:val="001535A1"/>
    <w:rsid w:val="0015387A"/>
    <w:rsid w:val="00153B3B"/>
    <w:rsid w:val="00154114"/>
    <w:rsid w:val="001547D7"/>
    <w:rsid w:val="00154A0D"/>
    <w:rsid w:val="00154B78"/>
    <w:rsid w:val="001551CD"/>
    <w:rsid w:val="0015530F"/>
    <w:rsid w:val="00155378"/>
    <w:rsid w:val="001554A2"/>
    <w:rsid w:val="001565BB"/>
    <w:rsid w:val="0015686D"/>
    <w:rsid w:val="00156934"/>
    <w:rsid w:val="001569A0"/>
    <w:rsid w:val="00156B3B"/>
    <w:rsid w:val="0015736F"/>
    <w:rsid w:val="001577D7"/>
    <w:rsid w:val="00157BD1"/>
    <w:rsid w:val="00157D3F"/>
    <w:rsid w:val="00157E98"/>
    <w:rsid w:val="00160334"/>
    <w:rsid w:val="001605A7"/>
    <w:rsid w:val="0016063C"/>
    <w:rsid w:val="00160AE9"/>
    <w:rsid w:val="00160B00"/>
    <w:rsid w:val="00160E3B"/>
    <w:rsid w:val="00160E59"/>
    <w:rsid w:val="0016107A"/>
    <w:rsid w:val="001612EC"/>
    <w:rsid w:val="00161B19"/>
    <w:rsid w:val="00161BD9"/>
    <w:rsid w:val="001620D9"/>
    <w:rsid w:val="00162441"/>
    <w:rsid w:val="0016256C"/>
    <w:rsid w:val="00162A42"/>
    <w:rsid w:val="00163342"/>
    <w:rsid w:val="00163678"/>
    <w:rsid w:val="00163B7F"/>
    <w:rsid w:val="0016413B"/>
    <w:rsid w:val="00164607"/>
    <w:rsid w:val="00164DEA"/>
    <w:rsid w:val="001652D6"/>
    <w:rsid w:val="00165438"/>
    <w:rsid w:val="00165FDC"/>
    <w:rsid w:val="00166242"/>
    <w:rsid w:val="00166457"/>
    <w:rsid w:val="001667FF"/>
    <w:rsid w:val="0016687D"/>
    <w:rsid w:val="00166DC5"/>
    <w:rsid w:val="00166FE0"/>
    <w:rsid w:val="00167342"/>
    <w:rsid w:val="00167C7B"/>
    <w:rsid w:val="00167EA2"/>
    <w:rsid w:val="00170432"/>
    <w:rsid w:val="001706AA"/>
    <w:rsid w:val="00170AC1"/>
    <w:rsid w:val="0017102B"/>
    <w:rsid w:val="001712BE"/>
    <w:rsid w:val="00171464"/>
    <w:rsid w:val="0017149C"/>
    <w:rsid w:val="001719E0"/>
    <w:rsid w:val="00171A1A"/>
    <w:rsid w:val="00171BCC"/>
    <w:rsid w:val="00172886"/>
    <w:rsid w:val="001738B1"/>
    <w:rsid w:val="00173946"/>
    <w:rsid w:val="00173DD0"/>
    <w:rsid w:val="001741B3"/>
    <w:rsid w:val="001744A7"/>
    <w:rsid w:val="001746E6"/>
    <w:rsid w:val="00174DD9"/>
    <w:rsid w:val="001758BA"/>
    <w:rsid w:val="00175B85"/>
    <w:rsid w:val="001766C6"/>
    <w:rsid w:val="00176722"/>
    <w:rsid w:val="00176A74"/>
    <w:rsid w:val="0017714D"/>
    <w:rsid w:val="001772EB"/>
    <w:rsid w:val="001776F3"/>
    <w:rsid w:val="00180020"/>
    <w:rsid w:val="001800A5"/>
    <w:rsid w:val="0018010D"/>
    <w:rsid w:val="001804C8"/>
    <w:rsid w:val="0018057C"/>
    <w:rsid w:val="00180789"/>
    <w:rsid w:val="00180B66"/>
    <w:rsid w:val="00181A0E"/>
    <w:rsid w:val="00181F25"/>
    <w:rsid w:val="00182A0C"/>
    <w:rsid w:val="00182ADF"/>
    <w:rsid w:val="00182C29"/>
    <w:rsid w:val="00182DA8"/>
    <w:rsid w:val="00182FD4"/>
    <w:rsid w:val="001831D2"/>
    <w:rsid w:val="001833EA"/>
    <w:rsid w:val="00183454"/>
    <w:rsid w:val="00183E25"/>
    <w:rsid w:val="00184345"/>
    <w:rsid w:val="00184391"/>
    <w:rsid w:val="0018476B"/>
    <w:rsid w:val="0018478B"/>
    <w:rsid w:val="00184B38"/>
    <w:rsid w:val="00184EA5"/>
    <w:rsid w:val="00184FF2"/>
    <w:rsid w:val="00185406"/>
    <w:rsid w:val="0018594E"/>
    <w:rsid w:val="00186544"/>
    <w:rsid w:val="001865D4"/>
    <w:rsid w:val="00186EE6"/>
    <w:rsid w:val="00187209"/>
    <w:rsid w:val="001875CF"/>
    <w:rsid w:val="00187871"/>
    <w:rsid w:val="00187BFB"/>
    <w:rsid w:val="00187EA9"/>
    <w:rsid w:val="00190473"/>
    <w:rsid w:val="00190A26"/>
    <w:rsid w:val="00191637"/>
    <w:rsid w:val="001918D5"/>
    <w:rsid w:val="00191A2F"/>
    <w:rsid w:val="00191C88"/>
    <w:rsid w:val="00191D1C"/>
    <w:rsid w:val="00192116"/>
    <w:rsid w:val="00192BBC"/>
    <w:rsid w:val="00193122"/>
    <w:rsid w:val="001933A3"/>
    <w:rsid w:val="001937D6"/>
    <w:rsid w:val="001938B0"/>
    <w:rsid w:val="00193F91"/>
    <w:rsid w:val="00194838"/>
    <w:rsid w:val="00194D9C"/>
    <w:rsid w:val="00195143"/>
    <w:rsid w:val="001951C2"/>
    <w:rsid w:val="0019525E"/>
    <w:rsid w:val="00195570"/>
    <w:rsid w:val="001955B3"/>
    <w:rsid w:val="00195C06"/>
    <w:rsid w:val="00195C78"/>
    <w:rsid w:val="00195C89"/>
    <w:rsid w:val="00195D91"/>
    <w:rsid w:val="00195E1B"/>
    <w:rsid w:val="00195F18"/>
    <w:rsid w:val="001964CD"/>
    <w:rsid w:val="001969DA"/>
    <w:rsid w:val="00196EDB"/>
    <w:rsid w:val="00196EFC"/>
    <w:rsid w:val="00197385"/>
    <w:rsid w:val="001974AD"/>
    <w:rsid w:val="00197686"/>
    <w:rsid w:val="001976C9"/>
    <w:rsid w:val="001977B1"/>
    <w:rsid w:val="00197ADA"/>
    <w:rsid w:val="00197C14"/>
    <w:rsid w:val="00197E3D"/>
    <w:rsid w:val="001A003D"/>
    <w:rsid w:val="001A01EC"/>
    <w:rsid w:val="001A0447"/>
    <w:rsid w:val="001A04FC"/>
    <w:rsid w:val="001A0613"/>
    <w:rsid w:val="001A0663"/>
    <w:rsid w:val="001A0678"/>
    <w:rsid w:val="001A067F"/>
    <w:rsid w:val="001A0751"/>
    <w:rsid w:val="001A0F10"/>
    <w:rsid w:val="001A1B48"/>
    <w:rsid w:val="001A2640"/>
    <w:rsid w:val="001A26F0"/>
    <w:rsid w:val="001A27C4"/>
    <w:rsid w:val="001A2F29"/>
    <w:rsid w:val="001A3375"/>
    <w:rsid w:val="001A37D7"/>
    <w:rsid w:val="001A399E"/>
    <w:rsid w:val="001A3A00"/>
    <w:rsid w:val="001A3FFE"/>
    <w:rsid w:val="001A4315"/>
    <w:rsid w:val="001A511A"/>
    <w:rsid w:val="001A52EB"/>
    <w:rsid w:val="001A54D7"/>
    <w:rsid w:val="001A5962"/>
    <w:rsid w:val="001A5A1F"/>
    <w:rsid w:val="001A63E5"/>
    <w:rsid w:val="001A64B9"/>
    <w:rsid w:val="001A685E"/>
    <w:rsid w:val="001A6A4E"/>
    <w:rsid w:val="001A79A2"/>
    <w:rsid w:val="001A7F94"/>
    <w:rsid w:val="001B060C"/>
    <w:rsid w:val="001B0977"/>
    <w:rsid w:val="001B0F38"/>
    <w:rsid w:val="001B1400"/>
    <w:rsid w:val="001B15E7"/>
    <w:rsid w:val="001B17E0"/>
    <w:rsid w:val="001B2C46"/>
    <w:rsid w:val="001B2CD2"/>
    <w:rsid w:val="001B314C"/>
    <w:rsid w:val="001B33E6"/>
    <w:rsid w:val="001B3988"/>
    <w:rsid w:val="001B4181"/>
    <w:rsid w:val="001B4320"/>
    <w:rsid w:val="001B43A2"/>
    <w:rsid w:val="001B4C05"/>
    <w:rsid w:val="001B4DEC"/>
    <w:rsid w:val="001B5363"/>
    <w:rsid w:val="001B53CC"/>
    <w:rsid w:val="001B5944"/>
    <w:rsid w:val="001B6095"/>
    <w:rsid w:val="001B62BF"/>
    <w:rsid w:val="001B6429"/>
    <w:rsid w:val="001B71E7"/>
    <w:rsid w:val="001B7651"/>
    <w:rsid w:val="001B7779"/>
    <w:rsid w:val="001B7B8D"/>
    <w:rsid w:val="001B7E51"/>
    <w:rsid w:val="001C05C7"/>
    <w:rsid w:val="001C0B71"/>
    <w:rsid w:val="001C0B92"/>
    <w:rsid w:val="001C1542"/>
    <w:rsid w:val="001C18CB"/>
    <w:rsid w:val="001C2169"/>
    <w:rsid w:val="001C218E"/>
    <w:rsid w:val="001C2686"/>
    <w:rsid w:val="001C2858"/>
    <w:rsid w:val="001C2893"/>
    <w:rsid w:val="001C2F77"/>
    <w:rsid w:val="001C3363"/>
    <w:rsid w:val="001C3AD3"/>
    <w:rsid w:val="001C40A9"/>
    <w:rsid w:val="001C4390"/>
    <w:rsid w:val="001C4BCE"/>
    <w:rsid w:val="001C520B"/>
    <w:rsid w:val="001C54CD"/>
    <w:rsid w:val="001C54DD"/>
    <w:rsid w:val="001C582F"/>
    <w:rsid w:val="001C58EC"/>
    <w:rsid w:val="001C5A69"/>
    <w:rsid w:val="001C5D5D"/>
    <w:rsid w:val="001C5F64"/>
    <w:rsid w:val="001C6275"/>
    <w:rsid w:val="001C6312"/>
    <w:rsid w:val="001C6343"/>
    <w:rsid w:val="001C676B"/>
    <w:rsid w:val="001C6CC4"/>
    <w:rsid w:val="001C7037"/>
    <w:rsid w:val="001D046E"/>
    <w:rsid w:val="001D060B"/>
    <w:rsid w:val="001D089F"/>
    <w:rsid w:val="001D0BB2"/>
    <w:rsid w:val="001D1A60"/>
    <w:rsid w:val="001D1CD8"/>
    <w:rsid w:val="001D210F"/>
    <w:rsid w:val="001D31B0"/>
    <w:rsid w:val="001D33A7"/>
    <w:rsid w:val="001D347C"/>
    <w:rsid w:val="001D3AFD"/>
    <w:rsid w:val="001D3C4F"/>
    <w:rsid w:val="001D4059"/>
    <w:rsid w:val="001D458D"/>
    <w:rsid w:val="001D458F"/>
    <w:rsid w:val="001D4AEB"/>
    <w:rsid w:val="001D4D20"/>
    <w:rsid w:val="001D4E0B"/>
    <w:rsid w:val="001D5345"/>
    <w:rsid w:val="001D561A"/>
    <w:rsid w:val="001D56A0"/>
    <w:rsid w:val="001D5B2D"/>
    <w:rsid w:val="001D5B66"/>
    <w:rsid w:val="001D5BA8"/>
    <w:rsid w:val="001D65A7"/>
    <w:rsid w:val="001D6D95"/>
    <w:rsid w:val="001D6FDF"/>
    <w:rsid w:val="001D7068"/>
    <w:rsid w:val="001D7626"/>
    <w:rsid w:val="001D7663"/>
    <w:rsid w:val="001D769B"/>
    <w:rsid w:val="001D7AB9"/>
    <w:rsid w:val="001D7F55"/>
    <w:rsid w:val="001E013B"/>
    <w:rsid w:val="001E026B"/>
    <w:rsid w:val="001E03FC"/>
    <w:rsid w:val="001E051C"/>
    <w:rsid w:val="001E0581"/>
    <w:rsid w:val="001E093F"/>
    <w:rsid w:val="001E0BB1"/>
    <w:rsid w:val="001E0E5B"/>
    <w:rsid w:val="001E10FF"/>
    <w:rsid w:val="001E12F9"/>
    <w:rsid w:val="001E1468"/>
    <w:rsid w:val="001E1532"/>
    <w:rsid w:val="001E1BA2"/>
    <w:rsid w:val="001E252A"/>
    <w:rsid w:val="001E2E37"/>
    <w:rsid w:val="001E300E"/>
    <w:rsid w:val="001E34CD"/>
    <w:rsid w:val="001E361C"/>
    <w:rsid w:val="001E3F6D"/>
    <w:rsid w:val="001E3FBA"/>
    <w:rsid w:val="001E4CE0"/>
    <w:rsid w:val="001E52FE"/>
    <w:rsid w:val="001E5CB6"/>
    <w:rsid w:val="001E5CD6"/>
    <w:rsid w:val="001E5CFF"/>
    <w:rsid w:val="001E6019"/>
    <w:rsid w:val="001E6404"/>
    <w:rsid w:val="001E68F2"/>
    <w:rsid w:val="001E6BA5"/>
    <w:rsid w:val="001E6EE6"/>
    <w:rsid w:val="001E7045"/>
    <w:rsid w:val="001E713E"/>
    <w:rsid w:val="001E71C3"/>
    <w:rsid w:val="001E745C"/>
    <w:rsid w:val="001E7565"/>
    <w:rsid w:val="001E763F"/>
    <w:rsid w:val="001E76D2"/>
    <w:rsid w:val="001F0041"/>
    <w:rsid w:val="001F05D0"/>
    <w:rsid w:val="001F06C1"/>
    <w:rsid w:val="001F0A19"/>
    <w:rsid w:val="001F1627"/>
    <w:rsid w:val="001F18D2"/>
    <w:rsid w:val="001F19F8"/>
    <w:rsid w:val="001F2625"/>
    <w:rsid w:val="001F2794"/>
    <w:rsid w:val="001F28F2"/>
    <w:rsid w:val="001F2FA5"/>
    <w:rsid w:val="001F37D7"/>
    <w:rsid w:val="001F3D9D"/>
    <w:rsid w:val="001F42E2"/>
    <w:rsid w:val="001F4418"/>
    <w:rsid w:val="001F483F"/>
    <w:rsid w:val="001F4C1A"/>
    <w:rsid w:val="001F5350"/>
    <w:rsid w:val="001F550B"/>
    <w:rsid w:val="001F589D"/>
    <w:rsid w:val="001F5E2B"/>
    <w:rsid w:val="001F5F48"/>
    <w:rsid w:val="001F5FAF"/>
    <w:rsid w:val="001F649D"/>
    <w:rsid w:val="001F6B1A"/>
    <w:rsid w:val="001F73FE"/>
    <w:rsid w:val="001F74D8"/>
    <w:rsid w:val="001F752F"/>
    <w:rsid w:val="001F7546"/>
    <w:rsid w:val="001F7992"/>
    <w:rsid w:val="00200205"/>
    <w:rsid w:val="00200544"/>
    <w:rsid w:val="00200868"/>
    <w:rsid w:val="00200E5C"/>
    <w:rsid w:val="00200FB9"/>
    <w:rsid w:val="00201239"/>
    <w:rsid w:val="002012F8"/>
    <w:rsid w:val="00201603"/>
    <w:rsid w:val="00201D71"/>
    <w:rsid w:val="002021AD"/>
    <w:rsid w:val="0020239A"/>
    <w:rsid w:val="00202DD9"/>
    <w:rsid w:val="00203523"/>
    <w:rsid w:val="002036B6"/>
    <w:rsid w:val="00203CDF"/>
    <w:rsid w:val="002042AF"/>
    <w:rsid w:val="002043D8"/>
    <w:rsid w:val="00204B65"/>
    <w:rsid w:val="002053A6"/>
    <w:rsid w:val="002055D8"/>
    <w:rsid w:val="002060DB"/>
    <w:rsid w:val="002065F9"/>
    <w:rsid w:val="00206B5D"/>
    <w:rsid w:val="00206BF2"/>
    <w:rsid w:val="00207B34"/>
    <w:rsid w:val="00210462"/>
    <w:rsid w:val="00211D48"/>
    <w:rsid w:val="00211E41"/>
    <w:rsid w:val="00212B1D"/>
    <w:rsid w:val="00212DD0"/>
    <w:rsid w:val="00212F5D"/>
    <w:rsid w:val="0021339A"/>
    <w:rsid w:val="00213520"/>
    <w:rsid w:val="00213704"/>
    <w:rsid w:val="00213BE5"/>
    <w:rsid w:val="00213DF8"/>
    <w:rsid w:val="002141ED"/>
    <w:rsid w:val="00214204"/>
    <w:rsid w:val="002148B5"/>
    <w:rsid w:val="00214D4A"/>
    <w:rsid w:val="00215277"/>
    <w:rsid w:val="0021534D"/>
    <w:rsid w:val="00215400"/>
    <w:rsid w:val="00215802"/>
    <w:rsid w:val="00215E31"/>
    <w:rsid w:val="002162D6"/>
    <w:rsid w:val="00216314"/>
    <w:rsid w:val="002164E4"/>
    <w:rsid w:val="00216661"/>
    <w:rsid w:val="00216E97"/>
    <w:rsid w:val="00217105"/>
    <w:rsid w:val="00217AB5"/>
    <w:rsid w:val="00217BBE"/>
    <w:rsid w:val="00217C0E"/>
    <w:rsid w:val="0022029B"/>
    <w:rsid w:val="00220312"/>
    <w:rsid w:val="00220A55"/>
    <w:rsid w:val="00220A8C"/>
    <w:rsid w:val="0022150B"/>
    <w:rsid w:val="002219DE"/>
    <w:rsid w:val="00221CAA"/>
    <w:rsid w:val="00221D90"/>
    <w:rsid w:val="00222768"/>
    <w:rsid w:val="002229D8"/>
    <w:rsid w:val="00222FA9"/>
    <w:rsid w:val="00223189"/>
    <w:rsid w:val="002232A1"/>
    <w:rsid w:val="00223649"/>
    <w:rsid w:val="00223680"/>
    <w:rsid w:val="002240A0"/>
    <w:rsid w:val="002244C9"/>
    <w:rsid w:val="00224602"/>
    <w:rsid w:val="0022481B"/>
    <w:rsid w:val="0022503F"/>
    <w:rsid w:val="002260EA"/>
    <w:rsid w:val="002266C8"/>
    <w:rsid w:val="00226789"/>
    <w:rsid w:val="002267C4"/>
    <w:rsid w:val="00226B5A"/>
    <w:rsid w:val="00226E5B"/>
    <w:rsid w:val="002272ED"/>
    <w:rsid w:val="00227C7D"/>
    <w:rsid w:val="00227F87"/>
    <w:rsid w:val="00230009"/>
    <w:rsid w:val="002304D9"/>
    <w:rsid w:val="00230751"/>
    <w:rsid w:val="00230760"/>
    <w:rsid w:val="00230E8B"/>
    <w:rsid w:val="00231599"/>
    <w:rsid w:val="002319F9"/>
    <w:rsid w:val="00231F04"/>
    <w:rsid w:val="0023213E"/>
    <w:rsid w:val="0023239E"/>
    <w:rsid w:val="00232760"/>
    <w:rsid w:val="00232B54"/>
    <w:rsid w:val="00233137"/>
    <w:rsid w:val="0023332C"/>
    <w:rsid w:val="00233418"/>
    <w:rsid w:val="00233C85"/>
    <w:rsid w:val="00233D1E"/>
    <w:rsid w:val="00233D36"/>
    <w:rsid w:val="00233F5F"/>
    <w:rsid w:val="002340E1"/>
    <w:rsid w:val="00234738"/>
    <w:rsid w:val="00234B61"/>
    <w:rsid w:val="00234C1C"/>
    <w:rsid w:val="00234CA6"/>
    <w:rsid w:val="0023531F"/>
    <w:rsid w:val="00235674"/>
    <w:rsid w:val="00236535"/>
    <w:rsid w:val="00236728"/>
    <w:rsid w:val="00237182"/>
    <w:rsid w:val="0023728E"/>
    <w:rsid w:val="002379C8"/>
    <w:rsid w:val="00237D25"/>
    <w:rsid w:val="00237F86"/>
    <w:rsid w:val="00240143"/>
    <w:rsid w:val="002404E8"/>
    <w:rsid w:val="002414A0"/>
    <w:rsid w:val="002414EF"/>
    <w:rsid w:val="0024168E"/>
    <w:rsid w:val="00241C06"/>
    <w:rsid w:val="002420C7"/>
    <w:rsid w:val="0024228E"/>
    <w:rsid w:val="00243271"/>
    <w:rsid w:val="0024329C"/>
    <w:rsid w:val="002434B4"/>
    <w:rsid w:val="002438E6"/>
    <w:rsid w:val="00243AF9"/>
    <w:rsid w:val="00243F04"/>
    <w:rsid w:val="00244093"/>
    <w:rsid w:val="0024412E"/>
    <w:rsid w:val="0024425F"/>
    <w:rsid w:val="0024444A"/>
    <w:rsid w:val="00244537"/>
    <w:rsid w:val="0024480E"/>
    <w:rsid w:val="00244B24"/>
    <w:rsid w:val="00244C25"/>
    <w:rsid w:val="00245616"/>
    <w:rsid w:val="00245899"/>
    <w:rsid w:val="00245E00"/>
    <w:rsid w:val="002460FE"/>
    <w:rsid w:val="002462FE"/>
    <w:rsid w:val="00246492"/>
    <w:rsid w:val="0024687D"/>
    <w:rsid w:val="00246D13"/>
    <w:rsid w:val="002475CC"/>
    <w:rsid w:val="00247A3D"/>
    <w:rsid w:val="00247C13"/>
    <w:rsid w:val="00247CE6"/>
    <w:rsid w:val="00247F1C"/>
    <w:rsid w:val="00250273"/>
    <w:rsid w:val="00250581"/>
    <w:rsid w:val="00251031"/>
    <w:rsid w:val="002510FD"/>
    <w:rsid w:val="00251669"/>
    <w:rsid w:val="002519D0"/>
    <w:rsid w:val="00251F92"/>
    <w:rsid w:val="0025203E"/>
    <w:rsid w:val="002520ED"/>
    <w:rsid w:val="0025254E"/>
    <w:rsid w:val="00252A56"/>
    <w:rsid w:val="00252D71"/>
    <w:rsid w:val="00252FBD"/>
    <w:rsid w:val="00253138"/>
    <w:rsid w:val="00253154"/>
    <w:rsid w:val="002536A0"/>
    <w:rsid w:val="0025379D"/>
    <w:rsid w:val="00253986"/>
    <w:rsid w:val="002539FC"/>
    <w:rsid w:val="00253EB5"/>
    <w:rsid w:val="00253EC9"/>
    <w:rsid w:val="00253ECA"/>
    <w:rsid w:val="002545AA"/>
    <w:rsid w:val="00254671"/>
    <w:rsid w:val="00254E0D"/>
    <w:rsid w:val="00255290"/>
    <w:rsid w:val="002555A2"/>
    <w:rsid w:val="002556C9"/>
    <w:rsid w:val="00256089"/>
    <w:rsid w:val="0025643B"/>
    <w:rsid w:val="0025652A"/>
    <w:rsid w:val="002567A0"/>
    <w:rsid w:val="00256AE7"/>
    <w:rsid w:val="00257026"/>
    <w:rsid w:val="00257133"/>
    <w:rsid w:val="00257364"/>
    <w:rsid w:val="002573F2"/>
    <w:rsid w:val="00257B55"/>
    <w:rsid w:val="00257D22"/>
    <w:rsid w:val="00257DE8"/>
    <w:rsid w:val="00257EF7"/>
    <w:rsid w:val="00260256"/>
    <w:rsid w:val="0026054B"/>
    <w:rsid w:val="002607EF"/>
    <w:rsid w:val="00260D8A"/>
    <w:rsid w:val="00260F5D"/>
    <w:rsid w:val="0026114C"/>
    <w:rsid w:val="002613C0"/>
    <w:rsid w:val="00261553"/>
    <w:rsid w:val="002618E1"/>
    <w:rsid w:val="00261DA4"/>
    <w:rsid w:val="00261FA5"/>
    <w:rsid w:val="00262281"/>
    <w:rsid w:val="002622AB"/>
    <w:rsid w:val="00262473"/>
    <w:rsid w:val="002627D3"/>
    <w:rsid w:val="00262CE7"/>
    <w:rsid w:val="00262D49"/>
    <w:rsid w:val="00263409"/>
    <w:rsid w:val="0026467C"/>
    <w:rsid w:val="00264B9D"/>
    <w:rsid w:val="00264F2B"/>
    <w:rsid w:val="00265373"/>
    <w:rsid w:val="0026544A"/>
    <w:rsid w:val="0026599A"/>
    <w:rsid w:val="00265A6F"/>
    <w:rsid w:val="00265B35"/>
    <w:rsid w:val="00266571"/>
    <w:rsid w:val="00266AB4"/>
    <w:rsid w:val="00267711"/>
    <w:rsid w:val="0026772D"/>
    <w:rsid w:val="00267778"/>
    <w:rsid w:val="00267A88"/>
    <w:rsid w:val="00267BE4"/>
    <w:rsid w:val="00267C62"/>
    <w:rsid w:val="00267F51"/>
    <w:rsid w:val="00270323"/>
    <w:rsid w:val="002712AE"/>
    <w:rsid w:val="002718CF"/>
    <w:rsid w:val="00271B14"/>
    <w:rsid w:val="00271BE9"/>
    <w:rsid w:val="00271EE1"/>
    <w:rsid w:val="002725BC"/>
    <w:rsid w:val="00272BDA"/>
    <w:rsid w:val="00272DA1"/>
    <w:rsid w:val="002730DE"/>
    <w:rsid w:val="0027325B"/>
    <w:rsid w:val="00273352"/>
    <w:rsid w:val="0027357D"/>
    <w:rsid w:val="0027391F"/>
    <w:rsid w:val="00273FC9"/>
    <w:rsid w:val="002743A1"/>
    <w:rsid w:val="002743A8"/>
    <w:rsid w:val="0027452A"/>
    <w:rsid w:val="00274BC3"/>
    <w:rsid w:val="00274CC1"/>
    <w:rsid w:val="002753AD"/>
    <w:rsid w:val="00275F65"/>
    <w:rsid w:val="002760CE"/>
    <w:rsid w:val="002762ED"/>
    <w:rsid w:val="002766CD"/>
    <w:rsid w:val="002767AD"/>
    <w:rsid w:val="002767F5"/>
    <w:rsid w:val="002768F5"/>
    <w:rsid w:val="00276A38"/>
    <w:rsid w:val="00276ACF"/>
    <w:rsid w:val="00276C35"/>
    <w:rsid w:val="00276CD2"/>
    <w:rsid w:val="002772E3"/>
    <w:rsid w:val="00277702"/>
    <w:rsid w:val="00277737"/>
    <w:rsid w:val="002777C2"/>
    <w:rsid w:val="00277921"/>
    <w:rsid w:val="002809DA"/>
    <w:rsid w:val="00280A9C"/>
    <w:rsid w:val="0028136F"/>
    <w:rsid w:val="00281744"/>
    <w:rsid w:val="002820E7"/>
    <w:rsid w:val="002822A2"/>
    <w:rsid w:val="002826F4"/>
    <w:rsid w:val="0028304A"/>
    <w:rsid w:val="002830D7"/>
    <w:rsid w:val="002830E8"/>
    <w:rsid w:val="00283493"/>
    <w:rsid w:val="002834E7"/>
    <w:rsid w:val="002835E6"/>
    <w:rsid w:val="002837AE"/>
    <w:rsid w:val="0028391D"/>
    <w:rsid w:val="00283A92"/>
    <w:rsid w:val="00283EE6"/>
    <w:rsid w:val="002845AB"/>
    <w:rsid w:val="00284834"/>
    <w:rsid w:val="00284B1E"/>
    <w:rsid w:val="00284CB1"/>
    <w:rsid w:val="00284E6C"/>
    <w:rsid w:val="00285183"/>
    <w:rsid w:val="002857E4"/>
    <w:rsid w:val="00285DEF"/>
    <w:rsid w:val="00286520"/>
    <w:rsid w:val="00286559"/>
    <w:rsid w:val="0028688F"/>
    <w:rsid w:val="0028694C"/>
    <w:rsid w:val="00286C03"/>
    <w:rsid w:val="0028725A"/>
    <w:rsid w:val="0028731E"/>
    <w:rsid w:val="002874E3"/>
    <w:rsid w:val="00287736"/>
    <w:rsid w:val="00290190"/>
    <w:rsid w:val="002901E7"/>
    <w:rsid w:val="00290267"/>
    <w:rsid w:val="00290393"/>
    <w:rsid w:val="0029068E"/>
    <w:rsid w:val="00290693"/>
    <w:rsid w:val="00290709"/>
    <w:rsid w:val="002909AC"/>
    <w:rsid w:val="00291258"/>
    <w:rsid w:val="00291BD9"/>
    <w:rsid w:val="00292195"/>
    <w:rsid w:val="00292426"/>
    <w:rsid w:val="00292F60"/>
    <w:rsid w:val="0029326E"/>
    <w:rsid w:val="002932AB"/>
    <w:rsid w:val="00293662"/>
    <w:rsid w:val="002938C4"/>
    <w:rsid w:val="002939F3"/>
    <w:rsid w:val="00293F83"/>
    <w:rsid w:val="0029424B"/>
    <w:rsid w:val="00294275"/>
    <w:rsid w:val="002943D8"/>
    <w:rsid w:val="00294590"/>
    <w:rsid w:val="002946B1"/>
    <w:rsid w:val="002951D9"/>
    <w:rsid w:val="0029540D"/>
    <w:rsid w:val="00295F57"/>
    <w:rsid w:val="00296288"/>
    <w:rsid w:val="002963A7"/>
    <w:rsid w:val="002964E6"/>
    <w:rsid w:val="00297005"/>
    <w:rsid w:val="00297055"/>
    <w:rsid w:val="002971FF"/>
    <w:rsid w:val="002973E4"/>
    <w:rsid w:val="00297B08"/>
    <w:rsid w:val="00297D57"/>
    <w:rsid w:val="00297F89"/>
    <w:rsid w:val="002A03B0"/>
    <w:rsid w:val="002A04A0"/>
    <w:rsid w:val="002A0761"/>
    <w:rsid w:val="002A08E6"/>
    <w:rsid w:val="002A08FE"/>
    <w:rsid w:val="002A1175"/>
    <w:rsid w:val="002A1519"/>
    <w:rsid w:val="002A184C"/>
    <w:rsid w:val="002A19F6"/>
    <w:rsid w:val="002A1D1B"/>
    <w:rsid w:val="002A1D1D"/>
    <w:rsid w:val="002A1D2A"/>
    <w:rsid w:val="002A1D8C"/>
    <w:rsid w:val="002A2AEA"/>
    <w:rsid w:val="002A3312"/>
    <w:rsid w:val="002A33EA"/>
    <w:rsid w:val="002A3702"/>
    <w:rsid w:val="002A39D6"/>
    <w:rsid w:val="002A4BDA"/>
    <w:rsid w:val="002A5372"/>
    <w:rsid w:val="002A543D"/>
    <w:rsid w:val="002A5552"/>
    <w:rsid w:val="002A5D17"/>
    <w:rsid w:val="002A5E6D"/>
    <w:rsid w:val="002A6006"/>
    <w:rsid w:val="002A60E1"/>
    <w:rsid w:val="002A6231"/>
    <w:rsid w:val="002A6A35"/>
    <w:rsid w:val="002A7082"/>
    <w:rsid w:val="002A73D8"/>
    <w:rsid w:val="002A74E8"/>
    <w:rsid w:val="002A760D"/>
    <w:rsid w:val="002A7677"/>
    <w:rsid w:val="002A78E6"/>
    <w:rsid w:val="002A7D05"/>
    <w:rsid w:val="002B0204"/>
    <w:rsid w:val="002B029A"/>
    <w:rsid w:val="002B0786"/>
    <w:rsid w:val="002B0853"/>
    <w:rsid w:val="002B0CAA"/>
    <w:rsid w:val="002B0DB6"/>
    <w:rsid w:val="002B143E"/>
    <w:rsid w:val="002B1577"/>
    <w:rsid w:val="002B2402"/>
    <w:rsid w:val="002B24EB"/>
    <w:rsid w:val="002B2500"/>
    <w:rsid w:val="002B2816"/>
    <w:rsid w:val="002B2B69"/>
    <w:rsid w:val="002B3CBE"/>
    <w:rsid w:val="002B4DBD"/>
    <w:rsid w:val="002B5669"/>
    <w:rsid w:val="002B56B5"/>
    <w:rsid w:val="002B5E04"/>
    <w:rsid w:val="002B5ED9"/>
    <w:rsid w:val="002B63B6"/>
    <w:rsid w:val="002B6495"/>
    <w:rsid w:val="002B65B5"/>
    <w:rsid w:val="002B66EF"/>
    <w:rsid w:val="002B6EB4"/>
    <w:rsid w:val="002B71A6"/>
    <w:rsid w:val="002B7CDE"/>
    <w:rsid w:val="002B7F0F"/>
    <w:rsid w:val="002C00F4"/>
    <w:rsid w:val="002C0261"/>
    <w:rsid w:val="002C075A"/>
    <w:rsid w:val="002C09DB"/>
    <w:rsid w:val="002C0F80"/>
    <w:rsid w:val="002C11C5"/>
    <w:rsid w:val="002C12F9"/>
    <w:rsid w:val="002C1A6B"/>
    <w:rsid w:val="002C1E93"/>
    <w:rsid w:val="002C1E9E"/>
    <w:rsid w:val="002C2008"/>
    <w:rsid w:val="002C222C"/>
    <w:rsid w:val="002C24B1"/>
    <w:rsid w:val="002C27C4"/>
    <w:rsid w:val="002C2E34"/>
    <w:rsid w:val="002C32DA"/>
    <w:rsid w:val="002C3662"/>
    <w:rsid w:val="002C36C2"/>
    <w:rsid w:val="002C399A"/>
    <w:rsid w:val="002C39A1"/>
    <w:rsid w:val="002C4298"/>
    <w:rsid w:val="002C4396"/>
    <w:rsid w:val="002C47C2"/>
    <w:rsid w:val="002C4950"/>
    <w:rsid w:val="002C4EAA"/>
    <w:rsid w:val="002C54D3"/>
    <w:rsid w:val="002C562B"/>
    <w:rsid w:val="002C5CB1"/>
    <w:rsid w:val="002C5ED5"/>
    <w:rsid w:val="002C5F2D"/>
    <w:rsid w:val="002C6ECF"/>
    <w:rsid w:val="002C7AAF"/>
    <w:rsid w:val="002D050D"/>
    <w:rsid w:val="002D09C1"/>
    <w:rsid w:val="002D0BA9"/>
    <w:rsid w:val="002D0C28"/>
    <w:rsid w:val="002D11E9"/>
    <w:rsid w:val="002D13CE"/>
    <w:rsid w:val="002D1A7B"/>
    <w:rsid w:val="002D2053"/>
    <w:rsid w:val="002D307E"/>
    <w:rsid w:val="002D32FD"/>
    <w:rsid w:val="002D35AB"/>
    <w:rsid w:val="002D3B16"/>
    <w:rsid w:val="002D3E1A"/>
    <w:rsid w:val="002D3F5F"/>
    <w:rsid w:val="002D4201"/>
    <w:rsid w:val="002D42F4"/>
    <w:rsid w:val="002D4FAA"/>
    <w:rsid w:val="002D5473"/>
    <w:rsid w:val="002D5ABB"/>
    <w:rsid w:val="002D61A3"/>
    <w:rsid w:val="002D626A"/>
    <w:rsid w:val="002D6ED9"/>
    <w:rsid w:val="002D7242"/>
    <w:rsid w:val="002D7553"/>
    <w:rsid w:val="002D7D04"/>
    <w:rsid w:val="002E01D5"/>
    <w:rsid w:val="002E0364"/>
    <w:rsid w:val="002E0AFB"/>
    <w:rsid w:val="002E10D9"/>
    <w:rsid w:val="002E1194"/>
    <w:rsid w:val="002E1805"/>
    <w:rsid w:val="002E1BDC"/>
    <w:rsid w:val="002E1C76"/>
    <w:rsid w:val="002E1DB0"/>
    <w:rsid w:val="002E21EB"/>
    <w:rsid w:val="002E2260"/>
    <w:rsid w:val="002E2ADB"/>
    <w:rsid w:val="002E3205"/>
    <w:rsid w:val="002E3B17"/>
    <w:rsid w:val="002E3B47"/>
    <w:rsid w:val="002E3F6C"/>
    <w:rsid w:val="002E41DE"/>
    <w:rsid w:val="002E4205"/>
    <w:rsid w:val="002E44FD"/>
    <w:rsid w:val="002E4A43"/>
    <w:rsid w:val="002E5093"/>
    <w:rsid w:val="002E516E"/>
    <w:rsid w:val="002E53F3"/>
    <w:rsid w:val="002E57A5"/>
    <w:rsid w:val="002E5E21"/>
    <w:rsid w:val="002E692E"/>
    <w:rsid w:val="002E6A18"/>
    <w:rsid w:val="002E6BAA"/>
    <w:rsid w:val="002E6C45"/>
    <w:rsid w:val="002E6FEB"/>
    <w:rsid w:val="002E7146"/>
    <w:rsid w:val="002E7635"/>
    <w:rsid w:val="002E76D7"/>
    <w:rsid w:val="002E776A"/>
    <w:rsid w:val="002E79EC"/>
    <w:rsid w:val="002E7B7F"/>
    <w:rsid w:val="002E7C7B"/>
    <w:rsid w:val="002F11EF"/>
    <w:rsid w:val="002F15A8"/>
    <w:rsid w:val="002F1ACD"/>
    <w:rsid w:val="002F1DFD"/>
    <w:rsid w:val="002F1EC4"/>
    <w:rsid w:val="002F3488"/>
    <w:rsid w:val="002F386B"/>
    <w:rsid w:val="002F3FAD"/>
    <w:rsid w:val="002F4B02"/>
    <w:rsid w:val="002F4C53"/>
    <w:rsid w:val="002F4EB7"/>
    <w:rsid w:val="002F54B4"/>
    <w:rsid w:val="002F569B"/>
    <w:rsid w:val="002F5BFF"/>
    <w:rsid w:val="002F6361"/>
    <w:rsid w:val="002F6606"/>
    <w:rsid w:val="002F6633"/>
    <w:rsid w:val="002F68A1"/>
    <w:rsid w:val="002F691A"/>
    <w:rsid w:val="002F692D"/>
    <w:rsid w:val="002F6A2D"/>
    <w:rsid w:val="002F7B7A"/>
    <w:rsid w:val="002F7FBB"/>
    <w:rsid w:val="00300EE3"/>
    <w:rsid w:val="00301522"/>
    <w:rsid w:val="003023D1"/>
    <w:rsid w:val="0030256A"/>
    <w:rsid w:val="003026D7"/>
    <w:rsid w:val="00302994"/>
    <w:rsid w:val="00302A21"/>
    <w:rsid w:val="00302B40"/>
    <w:rsid w:val="00303A34"/>
    <w:rsid w:val="00303CC7"/>
    <w:rsid w:val="00303F1D"/>
    <w:rsid w:val="00304131"/>
    <w:rsid w:val="0030417F"/>
    <w:rsid w:val="003043EC"/>
    <w:rsid w:val="00304D2B"/>
    <w:rsid w:val="00305825"/>
    <w:rsid w:val="00305DF3"/>
    <w:rsid w:val="00305E90"/>
    <w:rsid w:val="00305EF7"/>
    <w:rsid w:val="003061E1"/>
    <w:rsid w:val="0030642C"/>
    <w:rsid w:val="00306D93"/>
    <w:rsid w:val="00306EDA"/>
    <w:rsid w:val="003074E5"/>
    <w:rsid w:val="00307A00"/>
    <w:rsid w:val="00307D5C"/>
    <w:rsid w:val="00307E27"/>
    <w:rsid w:val="00307EB6"/>
    <w:rsid w:val="00310183"/>
    <w:rsid w:val="003101EE"/>
    <w:rsid w:val="00310362"/>
    <w:rsid w:val="00310AC5"/>
    <w:rsid w:val="00310C0C"/>
    <w:rsid w:val="00310F76"/>
    <w:rsid w:val="0031110D"/>
    <w:rsid w:val="00311153"/>
    <w:rsid w:val="00311A29"/>
    <w:rsid w:val="00311A67"/>
    <w:rsid w:val="00312592"/>
    <w:rsid w:val="00313D66"/>
    <w:rsid w:val="0031406C"/>
    <w:rsid w:val="00314538"/>
    <w:rsid w:val="00314AC5"/>
    <w:rsid w:val="00314B8C"/>
    <w:rsid w:val="00314FBE"/>
    <w:rsid w:val="003151E2"/>
    <w:rsid w:val="00315C4F"/>
    <w:rsid w:val="00315E6F"/>
    <w:rsid w:val="00315FF7"/>
    <w:rsid w:val="003162CD"/>
    <w:rsid w:val="00316C59"/>
    <w:rsid w:val="00316C97"/>
    <w:rsid w:val="0031738B"/>
    <w:rsid w:val="0031744A"/>
    <w:rsid w:val="00317769"/>
    <w:rsid w:val="003177FB"/>
    <w:rsid w:val="00317B3C"/>
    <w:rsid w:val="00317DE9"/>
    <w:rsid w:val="00320BCC"/>
    <w:rsid w:val="00320C16"/>
    <w:rsid w:val="00320C7B"/>
    <w:rsid w:val="003211D9"/>
    <w:rsid w:val="00321382"/>
    <w:rsid w:val="00321472"/>
    <w:rsid w:val="00322068"/>
    <w:rsid w:val="00322323"/>
    <w:rsid w:val="00322A2B"/>
    <w:rsid w:val="00322D74"/>
    <w:rsid w:val="00322FC4"/>
    <w:rsid w:val="003237F7"/>
    <w:rsid w:val="00323A76"/>
    <w:rsid w:val="00323E5F"/>
    <w:rsid w:val="003241DB"/>
    <w:rsid w:val="00324346"/>
    <w:rsid w:val="003245A2"/>
    <w:rsid w:val="003252B9"/>
    <w:rsid w:val="003261C4"/>
    <w:rsid w:val="0032696E"/>
    <w:rsid w:val="00326C5A"/>
    <w:rsid w:val="0032739C"/>
    <w:rsid w:val="00327737"/>
    <w:rsid w:val="003308B6"/>
    <w:rsid w:val="003316E9"/>
    <w:rsid w:val="00331C42"/>
    <w:rsid w:val="0033215B"/>
    <w:rsid w:val="003324AE"/>
    <w:rsid w:val="00332773"/>
    <w:rsid w:val="0033296C"/>
    <w:rsid w:val="00332D72"/>
    <w:rsid w:val="00333023"/>
    <w:rsid w:val="003333C6"/>
    <w:rsid w:val="0033351A"/>
    <w:rsid w:val="003335FD"/>
    <w:rsid w:val="00333E9A"/>
    <w:rsid w:val="00333ECF"/>
    <w:rsid w:val="0033423F"/>
    <w:rsid w:val="003344EA"/>
    <w:rsid w:val="003349BE"/>
    <w:rsid w:val="00334BA6"/>
    <w:rsid w:val="003350E7"/>
    <w:rsid w:val="003352AC"/>
    <w:rsid w:val="003353B0"/>
    <w:rsid w:val="003355C9"/>
    <w:rsid w:val="00335ACA"/>
    <w:rsid w:val="00335CC7"/>
    <w:rsid w:val="00335DF3"/>
    <w:rsid w:val="0033610C"/>
    <w:rsid w:val="003363C0"/>
    <w:rsid w:val="003363F3"/>
    <w:rsid w:val="0033651D"/>
    <w:rsid w:val="00336A21"/>
    <w:rsid w:val="00336B4B"/>
    <w:rsid w:val="00336CD7"/>
    <w:rsid w:val="0033731D"/>
    <w:rsid w:val="003375C5"/>
    <w:rsid w:val="00337977"/>
    <w:rsid w:val="00337EFB"/>
    <w:rsid w:val="00337F83"/>
    <w:rsid w:val="00340138"/>
    <w:rsid w:val="00340187"/>
    <w:rsid w:val="00340358"/>
    <w:rsid w:val="0034062B"/>
    <w:rsid w:val="00340F62"/>
    <w:rsid w:val="0034148D"/>
    <w:rsid w:val="0034182C"/>
    <w:rsid w:val="00341A6A"/>
    <w:rsid w:val="00341DC0"/>
    <w:rsid w:val="003423D9"/>
    <w:rsid w:val="00342EC9"/>
    <w:rsid w:val="003431A8"/>
    <w:rsid w:val="00343388"/>
    <w:rsid w:val="003437A3"/>
    <w:rsid w:val="00343814"/>
    <w:rsid w:val="00343EC2"/>
    <w:rsid w:val="00344111"/>
    <w:rsid w:val="0034433F"/>
    <w:rsid w:val="00344963"/>
    <w:rsid w:val="00345092"/>
    <w:rsid w:val="0034533B"/>
    <w:rsid w:val="00345A4F"/>
    <w:rsid w:val="00345B05"/>
    <w:rsid w:val="00345C09"/>
    <w:rsid w:val="00345C9C"/>
    <w:rsid w:val="00345CAB"/>
    <w:rsid w:val="0034641D"/>
    <w:rsid w:val="003465F2"/>
    <w:rsid w:val="00346834"/>
    <w:rsid w:val="00346E40"/>
    <w:rsid w:val="003471C4"/>
    <w:rsid w:val="003472A6"/>
    <w:rsid w:val="0034741C"/>
    <w:rsid w:val="0034745C"/>
    <w:rsid w:val="0034788A"/>
    <w:rsid w:val="0034799D"/>
    <w:rsid w:val="00347ABE"/>
    <w:rsid w:val="00347D27"/>
    <w:rsid w:val="0035006B"/>
    <w:rsid w:val="003503F6"/>
    <w:rsid w:val="0035081B"/>
    <w:rsid w:val="00350AD3"/>
    <w:rsid w:val="00350F44"/>
    <w:rsid w:val="0035104F"/>
    <w:rsid w:val="0035185C"/>
    <w:rsid w:val="00351ECD"/>
    <w:rsid w:val="003522A0"/>
    <w:rsid w:val="00352622"/>
    <w:rsid w:val="00352915"/>
    <w:rsid w:val="00352CB2"/>
    <w:rsid w:val="00352E87"/>
    <w:rsid w:val="00352FAC"/>
    <w:rsid w:val="0035324A"/>
    <w:rsid w:val="0035347E"/>
    <w:rsid w:val="003537C1"/>
    <w:rsid w:val="003539A9"/>
    <w:rsid w:val="00353C19"/>
    <w:rsid w:val="00353CAF"/>
    <w:rsid w:val="00354071"/>
    <w:rsid w:val="003542F6"/>
    <w:rsid w:val="003543B8"/>
    <w:rsid w:val="003547D9"/>
    <w:rsid w:val="00354A61"/>
    <w:rsid w:val="00354FC9"/>
    <w:rsid w:val="0035523D"/>
    <w:rsid w:val="00355315"/>
    <w:rsid w:val="003556F1"/>
    <w:rsid w:val="0035572C"/>
    <w:rsid w:val="00356308"/>
    <w:rsid w:val="003566B2"/>
    <w:rsid w:val="00356816"/>
    <w:rsid w:val="00357562"/>
    <w:rsid w:val="00357616"/>
    <w:rsid w:val="0035782E"/>
    <w:rsid w:val="0035788E"/>
    <w:rsid w:val="00360EE0"/>
    <w:rsid w:val="00360FC7"/>
    <w:rsid w:val="00361686"/>
    <w:rsid w:val="00361A47"/>
    <w:rsid w:val="00362056"/>
    <w:rsid w:val="00362B9F"/>
    <w:rsid w:val="00362DFE"/>
    <w:rsid w:val="003631EB"/>
    <w:rsid w:val="00363201"/>
    <w:rsid w:val="003632FE"/>
    <w:rsid w:val="0036341B"/>
    <w:rsid w:val="0036359E"/>
    <w:rsid w:val="003647C3"/>
    <w:rsid w:val="0036498E"/>
    <w:rsid w:val="003649CF"/>
    <w:rsid w:val="00364DE7"/>
    <w:rsid w:val="00364FE9"/>
    <w:rsid w:val="00365D21"/>
    <w:rsid w:val="00366005"/>
    <w:rsid w:val="003662E8"/>
    <w:rsid w:val="003664AB"/>
    <w:rsid w:val="00367103"/>
    <w:rsid w:val="003675F0"/>
    <w:rsid w:val="00367B2B"/>
    <w:rsid w:val="00367C5B"/>
    <w:rsid w:val="00367D6F"/>
    <w:rsid w:val="003703C7"/>
    <w:rsid w:val="00370741"/>
    <w:rsid w:val="00370BFD"/>
    <w:rsid w:val="00370D22"/>
    <w:rsid w:val="00370EBD"/>
    <w:rsid w:val="00370EE9"/>
    <w:rsid w:val="00370FBB"/>
    <w:rsid w:val="0037105A"/>
    <w:rsid w:val="003710A6"/>
    <w:rsid w:val="003710D5"/>
    <w:rsid w:val="0037118F"/>
    <w:rsid w:val="00371D09"/>
    <w:rsid w:val="00372116"/>
    <w:rsid w:val="0037333C"/>
    <w:rsid w:val="00373488"/>
    <w:rsid w:val="0037359F"/>
    <w:rsid w:val="003738F0"/>
    <w:rsid w:val="003738F1"/>
    <w:rsid w:val="00374547"/>
    <w:rsid w:val="00374EB7"/>
    <w:rsid w:val="00374FEA"/>
    <w:rsid w:val="00374FFB"/>
    <w:rsid w:val="003757A5"/>
    <w:rsid w:val="003758CF"/>
    <w:rsid w:val="00375BA1"/>
    <w:rsid w:val="00375ECD"/>
    <w:rsid w:val="00376126"/>
    <w:rsid w:val="003761CB"/>
    <w:rsid w:val="0037637E"/>
    <w:rsid w:val="0037638D"/>
    <w:rsid w:val="00376C21"/>
    <w:rsid w:val="00376C4B"/>
    <w:rsid w:val="00376C74"/>
    <w:rsid w:val="00376D89"/>
    <w:rsid w:val="00376F77"/>
    <w:rsid w:val="00376F95"/>
    <w:rsid w:val="00377ABD"/>
    <w:rsid w:val="00377DC5"/>
    <w:rsid w:val="003805B0"/>
    <w:rsid w:val="00380AF6"/>
    <w:rsid w:val="00381087"/>
    <w:rsid w:val="0038178A"/>
    <w:rsid w:val="00381961"/>
    <w:rsid w:val="00381F20"/>
    <w:rsid w:val="00382413"/>
    <w:rsid w:val="003829C7"/>
    <w:rsid w:val="003836A7"/>
    <w:rsid w:val="00383B88"/>
    <w:rsid w:val="00383F06"/>
    <w:rsid w:val="00384340"/>
    <w:rsid w:val="00384576"/>
    <w:rsid w:val="003845AB"/>
    <w:rsid w:val="00384AF1"/>
    <w:rsid w:val="003851B6"/>
    <w:rsid w:val="003852EE"/>
    <w:rsid w:val="003853AE"/>
    <w:rsid w:val="0038545A"/>
    <w:rsid w:val="00385472"/>
    <w:rsid w:val="00385736"/>
    <w:rsid w:val="00385848"/>
    <w:rsid w:val="00385ADB"/>
    <w:rsid w:val="003867D8"/>
    <w:rsid w:val="00386978"/>
    <w:rsid w:val="0038755B"/>
    <w:rsid w:val="0039024B"/>
    <w:rsid w:val="0039068F"/>
    <w:rsid w:val="0039072A"/>
    <w:rsid w:val="00390807"/>
    <w:rsid w:val="00390A80"/>
    <w:rsid w:val="0039103C"/>
    <w:rsid w:val="00391296"/>
    <w:rsid w:val="00391334"/>
    <w:rsid w:val="00391623"/>
    <w:rsid w:val="00391CAC"/>
    <w:rsid w:val="00391D7C"/>
    <w:rsid w:val="00391F0A"/>
    <w:rsid w:val="00391FCC"/>
    <w:rsid w:val="003921BE"/>
    <w:rsid w:val="00392866"/>
    <w:rsid w:val="003928A1"/>
    <w:rsid w:val="00392907"/>
    <w:rsid w:val="00392BD3"/>
    <w:rsid w:val="00392C79"/>
    <w:rsid w:val="00392FC9"/>
    <w:rsid w:val="003932E9"/>
    <w:rsid w:val="00393459"/>
    <w:rsid w:val="00393941"/>
    <w:rsid w:val="00393B03"/>
    <w:rsid w:val="003942B0"/>
    <w:rsid w:val="003943CE"/>
    <w:rsid w:val="003945AE"/>
    <w:rsid w:val="00394657"/>
    <w:rsid w:val="00394776"/>
    <w:rsid w:val="003949C7"/>
    <w:rsid w:val="00394C7B"/>
    <w:rsid w:val="00395B4F"/>
    <w:rsid w:val="00395BE7"/>
    <w:rsid w:val="00395CFC"/>
    <w:rsid w:val="00395FDC"/>
    <w:rsid w:val="003965C7"/>
    <w:rsid w:val="00396650"/>
    <w:rsid w:val="00396881"/>
    <w:rsid w:val="0039710D"/>
    <w:rsid w:val="003977FB"/>
    <w:rsid w:val="003978FE"/>
    <w:rsid w:val="00397E2C"/>
    <w:rsid w:val="003A00D2"/>
    <w:rsid w:val="003A06FC"/>
    <w:rsid w:val="003A08EF"/>
    <w:rsid w:val="003A0A4E"/>
    <w:rsid w:val="003A0BB3"/>
    <w:rsid w:val="003A0DCD"/>
    <w:rsid w:val="003A1214"/>
    <w:rsid w:val="003A15B7"/>
    <w:rsid w:val="003A172C"/>
    <w:rsid w:val="003A2AFC"/>
    <w:rsid w:val="003A3C56"/>
    <w:rsid w:val="003A3F65"/>
    <w:rsid w:val="003A48E5"/>
    <w:rsid w:val="003A52DD"/>
    <w:rsid w:val="003A58B5"/>
    <w:rsid w:val="003A59C3"/>
    <w:rsid w:val="003A5CDD"/>
    <w:rsid w:val="003A5F90"/>
    <w:rsid w:val="003A6091"/>
    <w:rsid w:val="003A60DB"/>
    <w:rsid w:val="003A61C1"/>
    <w:rsid w:val="003A63E1"/>
    <w:rsid w:val="003A66EA"/>
    <w:rsid w:val="003A6903"/>
    <w:rsid w:val="003A6980"/>
    <w:rsid w:val="003A710F"/>
    <w:rsid w:val="003A762B"/>
    <w:rsid w:val="003A7A0F"/>
    <w:rsid w:val="003A7EED"/>
    <w:rsid w:val="003B010E"/>
    <w:rsid w:val="003B04E7"/>
    <w:rsid w:val="003B085C"/>
    <w:rsid w:val="003B108D"/>
    <w:rsid w:val="003B1118"/>
    <w:rsid w:val="003B1651"/>
    <w:rsid w:val="003B19F0"/>
    <w:rsid w:val="003B1C72"/>
    <w:rsid w:val="003B1FDA"/>
    <w:rsid w:val="003B25E1"/>
    <w:rsid w:val="003B2AB7"/>
    <w:rsid w:val="003B2DC2"/>
    <w:rsid w:val="003B2F36"/>
    <w:rsid w:val="003B34A4"/>
    <w:rsid w:val="003B3ACB"/>
    <w:rsid w:val="003B3C5A"/>
    <w:rsid w:val="003B411F"/>
    <w:rsid w:val="003B4D40"/>
    <w:rsid w:val="003B4EA9"/>
    <w:rsid w:val="003B4F73"/>
    <w:rsid w:val="003B51AB"/>
    <w:rsid w:val="003B51D9"/>
    <w:rsid w:val="003B5F54"/>
    <w:rsid w:val="003B6462"/>
    <w:rsid w:val="003B65A4"/>
    <w:rsid w:val="003B6626"/>
    <w:rsid w:val="003B6CD6"/>
    <w:rsid w:val="003B71E0"/>
    <w:rsid w:val="003B73EC"/>
    <w:rsid w:val="003B78DA"/>
    <w:rsid w:val="003B79DF"/>
    <w:rsid w:val="003B7E34"/>
    <w:rsid w:val="003C018D"/>
    <w:rsid w:val="003C026A"/>
    <w:rsid w:val="003C067B"/>
    <w:rsid w:val="003C0D98"/>
    <w:rsid w:val="003C1381"/>
    <w:rsid w:val="003C1C21"/>
    <w:rsid w:val="003C2766"/>
    <w:rsid w:val="003C2CC1"/>
    <w:rsid w:val="003C2F1B"/>
    <w:rsid w:val="003C38C2"/>
    <w:rsid w:val="003C3B0E"/>
    <w:rsid w:val="003C3EDD"/>
    <w:rsid w:val="003C4450"/>
    <w:rsid w:val="003C4872"/>
    <w:rsid w:val="003C4A80"/>
    <w:rsid w:val="003C4D83"/>
    <w:rsid w:val="003C4E8C"/>
    <w:rsid w:val="003C5202"/>
    <w:rsid w:val="003C5467"/>
    <w:rsid w:val="003C5851"/>
    <w:rsid w:val="003C586F"/>
    <w:rsid w:val="003C5B2E"/>
    <w:rsid w:val="003C6274"/>
    <w:rsid w:val="003C6386"/>
    <w:rsid w:val="003C6A67"/>
    <w:rsid w:val="003C6B4B"/>
    <w:rsid w:val="003C712E"/>
    <w:rsid w:val="003C7409"/>
    <w:rsid w:val="003C7592"/>
    <w:rsid w:val="003C7E79"/>
    <w:rsid w:val="003D084E"/>
    <w:rsid w:val="003D08BE"/>
    <w:rsid w:val="003D108A"/>
    <w:rsid w:val="003D140B"/>
    <w:rsid w:val="003D1663"/>
    <w:rsid w:val="003D1A95"/>
    <w:rsid w:val="003D1DF4"/>
    <w:rsid w:val="003D21E2"/>
    <w:rsid w:val="003D2295"/>
    <w:rsid w:val="003D26E9"/>
    <w:rsid w:val="003D2832"/>
    <w:rsid w:val="003D2B16"/>
    <w:rsid w:val="003D38AC"/>
    <w:rsid w:val="003D3AA0"/>
    <w:rsid w:val="003D3BED"/>
    <w:rsid w:val="003D42D7"/>
    <w:rsid w:val="003D49EF"/>
    <w:rsid w:val="003D5AF2"/>
    <w:rsid w:val="003D5DB0"/>
    <w:rsid w:val="003D6806"/>
    <w:rsid w:val="003D6894"/>
    <w:rsid w:val="003D6991"/>
    <w:rsid w:val="003D7322"/>
    <w:rsid w:val="003D7BF3"/>
    <w:rsid w:val="003D7EF3"/>
    <w:rsid w:val="003E0613"/>
    <w:rsid w:val="003E0A78"/>
    <w:rsid w:val="003E17C3"/>
    <w:rsid w:val="003E1F91"/>
    <w:rsid w:val="003E224E"/>
    <w:rsid w:val="003E2D4A"/>
    <w:rsid w:val="003E3200"/>
    <w:rsid w:val="003E33F1"/>
    <w:rsid w:val="003E3A62"/>
    <w:rsid w:val="003E3FD2"/>
    <w:rsid w:val="003E44A4"/>
    <w:rsid w:val="003E48C9"/>
    <w:rsid w:val="003E49A9"/>
    <w:rsid w:val="003E522D"/>
    <w:rsid w:val="003E54BE"/>
    <w:rsid w:val="003E567A"/>
    <w:rsid w:val="003E5A15"/>
    <w:rsid w:val="003E5DAA"/>
    <w:rsid w:val="003E5FCA"/>
    <w:rsid w:val="003E6440"/>
    <w:rsid w:val="003E656C"/>
    <w:rsid w:val="003E67AB"/>
    <w:rsid w:val="003E707C"/>
    <w:rsid w:val="003E7A10"/>
    <w:rsid w:val="003E7A32"/>
    <w:rsid w:val="003E7A5F"/>
    <w:rsid w:val="003E7B90"/>
    <w:rsid w:val="003F0043"/>
    <w:rsid w:val="003F016B"/>
    <w:rsid w:val="003F0393"/>
    <w:rsid w:val="003F052D"/>
    <w:rsid w:val="003F0E4A"/>
    <w:rsid w:val="003F0E5D"/>
    <w:rsid w:val="003F1335"/>
    <w:rsid w:val="003F1345"/>
    <w:rsid w:val="003F1578"/>
    <w:rsid w:val="003F1602"/>
    <w:rsid w:val="003F1737"/>
    <w:rsid w:val="003F1B60"/>
    <w:rsid w:val="003F1BC9"/>
    <w:rsid w:val="003F1E60"/>
    <w:rsid w:val="003F23B0"/>
    <w:rsid w:val="003F253D"/>
    <w:rsid w:val="003F2595"/>
    <w:rsid w:val="003F2A39"/>
    <w:rsid w:val="003F2ACE"/>
    <w:rsid w:val="003F2D13"/>
    <w:rsid w:val="003F3227"/>
    <w:rsid w:val="003F32E9"/>
    <w:rsid w:val="003F33D3"/>
    <w:rsid w:val="003F3432"/>
    <w:rsid w:val="003F367D"/>
    <w:rsid w:val="003F3BB8"/>
    <w:rsid w:val="003F464B"/>
    <w:rsid w:val="003F472E"/>
    <w:rsid w:val="003F5059"/>
    <w:rsid w:val="003F5135"/>
    <w:rsid w:val="003F5168"/>
    <w:rsid w:val="003F53A0"/>
    <w:rsid w:val="003F5520"/>
    <w:rsid w:val="003F5759"/>
    <w:rsid w:val="003F58FB"/>
    <w:rsid w:val="003F5A75"/>
    <w:rsid w:val="003F5A9D"/>
    <w:rsid w:val="003F5CA1"/>
    <w:rsid w:val="003F6250"/>
    <w:rsid w:val="003F66FE"/>
    <w:rsid w:val="003F68DC"/>
    <w:rsid w:val="003F6969"/>
    <w:rsid w:val="003F6AB9"/>
    <w:rsid w:val="003F77A2"/>
    <w:rsid w:val="003F7892"/>
    <w:rsid w:val="003F7A1B"/>
    <w:rsid w:val="003F7F36"/>
    <w:rsid w:val="003F7F97"/>
    <w:rsid w:val="00400407"/>
    <w:rsid w:val="00400782"/>
    <w:rsid w:val="00400EDB"/>
    <w:rsid w:val="004015FC"/>
    <w:rsid w:val="0040169C"/>
    <w:rsid w:val="00401722"/>
    <w:rsid w:val="004018F1"/>
    <w:rsid w:val="00401D40"/>
    <w:rsid w:val="00401FC1"/>
    <w:rsid w:val="0040271B"/>
    <w:rsid w:val="00402CF0"/>
    <w:rsid w:val="00402D09"/>
    <w:rsid w:val="00402ED1"/>
    <w:rsid w:val="00403145"/>
    <w:rsid w:val="0040372B"/>
    <w:rsid w:val="00403766"/>
    <w:rsid w:val="00403A3C"/>
    <w:rsid w:val="0040422F"/>
    <w:rsid w:val="00404373"/>
    <w:rsid w:val="0040437E"/>
    <w:rsid w:val="00404DC0"/>
    <w:rsid w:val="00405143"/>
    <w:rsid w:val="00405171"/>
    <w:rsid w:val="00405B73"/>
    <w:rsid w:val="00405F54"/>
    <w:rsid w:val="004060FB"/>
    <w:rsid w:val="004061EE"/>
    <w:rsid w:val="0040655E"/>
    <w:rsid w:val="004065ED"/>
    <w:rsid w:val="00406A46"/>
    <w:rsid w:val="00406AD3"/>
    <w:rsid w:val="00407207"/>
    <w:rsid w:val="004075BD"/>
    <w:rsid w:val="00407B5E"/>
    <w:rsid w:val="00410B74"/>
    <w:rsid w:val="0041140A"/>
    <w:rsid w:val="004115A1"/>
    <w:rsid w:val="004125AB"/>
    <w:rsid w:val="00412711"/>
    <w:rsid w:val="004127E7"/>
    <w:rsid w:val="004132E4"/>
    <w:rsid w:val="004150C6"/>
    <w:rsid w:val="00415172"/>
    <w:rsid w:val="00415BEE"/>
    <w:rsid w:val="00416397"/>
    <w:rsid w:val="004164CE"/>
    <w:rsid w:val="0041696E"/>
    <w:rsid w:val="00417549"/>
    <w:rsid w:val="00417781"/>
    <w:rsid w:val="004179B7"/>
    <w:rsid w:val="00417B48"/>
    <w:rsid w:val="00420203"/>
    <w:rsid w:val="0042045F"/>
    <w:rsid w:val="00420682"/>
    <w:rsid w:val="00420710"/>
    <w:rsid w:val="00421F88"/>
    <w:rsid w:val="0042201E"/>
    <w:rsid w:val="00422595"/>
    <w:rsid w:val="00422696"/>
    <w:rsid w:val="004227FE"/>
    <w:rsid w:val="00422E23"/>
    <w:rsid w:val="00423468"/>
    <w:rsid w:val="004236A0"/>
    <w:rsid w:val="0042391F"/>
    <w:rsid w:val="00423A13"/>
    <w:rsid w:val="00423B0E"/>
    <w:rsid w:val="00423D11"/>
    <w:rsid w:val="00423D61"/>
    <w:rsid w:val="00424676"/>
    <w:rsid w:val="00424D52"/>
    <w:rsid w:val="00424FDF"/>
    <w:rsid w:val="00425ED9"/>
    <w:rsid w:val="004265A8"/>
    <w:rsid w:val="004269C5"/>
    <w:rsid w:val="00426D9F"/>
    <w:rsid w:val="00426ECA"/>
    <w:rsid w:val="00426F10"/>
    <w:rsid w:val="00426FAD"/>
    <w:rsid w:val="00426FDB"/>
    <w:rsid w:val="00427ABD"/>
    <w:rsid w:val="00427CC6"/>
    <w:rsid w:val="00430111"/>
    <w:rsid w:val="00430268"/>
    <w:rsid w:val="00430790"/>
    <w:rsid w:val="00430918"/>
    <w:rsid w:val="004309EE"/>
    <w:rsid w:val="00430F44"/>
    <w:rsid w:val="004311F1"/>
    <w:rsid w:val="00431485"/>
    <w:rsid w:val="00432050"/>
    <w:rsid w:val="004320C3"/>
    <w:rsid w:val="00432102"/>
    <w:rsid w:val="004321CA"/>
    <w:rsid w:val="0043254A"/>
    <w:rsid w:val="00432682"/>
    <w:rsid w:val="004331B8"/>
    <w:rsid w:val="004332CB"/>
    <w:rsid w:val="00433432"/>
    <w:rsid w:val="004335A8"/>
    <w:rsid w:val="0043362D"/>
    <w:rsid w:val="00433E84"/>
    <w:rsid w:val="00434344"/>
    <w:rsid w:val="00434A92"/>
    <w:rsid w:val="00435076"/>
    <w:rsid w:val="00435713"/>
    <w:rsid w:val="00435811"/>
    <w:rsid w:val="004360AD"/>
    <w:rsid w:val="0043663E"/>
    <w:rsid w:val="00436987"/>
    <w:rsid w:val="004371FA"/>
    <w:rsid w:val="00437716"/>
    <w:rsid w:val="0044013B"/>
    <w:rsid w:val="00440648"/>
    <w:rsid w:val="00440828"/>
    <w:rsid w:val="00441279"/>
    <w:rsid w:val="004418BE"/>
    <w:rsid w:val="0044194C"/>
    <w:rsid w:val="00441DA5"/>
    <w:rsid w:val="004421C5"/>
    <w:rsid w:val="0044225D"/>
    <w:rsid w:val="004423DE"/>
    <w:rsid w:val="0044299D"/>
    <w:rsid w:val="00442CB5"/>
    <w:rsid w:val="00442F06"/>
    <w:rsid w:val="00443778"/>
    <w:rsid w:val="004444DF"/>
    <w:rsid w:val="0044465F"/>
    <w:rsid w:val="00444B44"/>
    <w:rsid w:val="00444DA6"/>
    <w:rsid w:val="00444E84"/>
    <w:rsid w:val="00444F6A"/>
    <w:rsid w:val="0044535E"/>
    <w:rsid w:val="00445485"/>
    <w:rsid w:val="004467A3"/>
    <w:rsid w:val="0044709C"/>
    <w:rsid w:val="004477AB"/>
    <w:rsid w:val="00447951"/>
    <w:rsid w:val="00450036"/>
    <w:rsid w:val="004500D6"/>
    <w:rsid w:val="004504E9"/>
    <w:rsid w:val="00450664"/>
    <w:rsid w:val="00450907"/>
    <w:rsid w:val="00450A70"/>
    <w:rsid w:val="00450BBA"/>
    <w:rsid w:val="00450DFE"/>
    <w:rsid w:val="00450FBF"/>
    <w:rsid w:val="00450FD3"/>
    <w:rsid w:val="00451101"/>
    <w:rsid w:val="00451911"/>
    <w:rsid w:val="004522C7"/>
    <w:rsid w:val="004526C4"/>
    <w:rsid w:val="00452741"/>
    <w:rsid w:val="0045289F"/>
    <w:rsid w:val="00452976"/>
    <w:rsid w:val="00452C63"/>
    <w:rsid w:val="00452D0F"/>
    <w:rsid w:val="00452D8D"/>
    <w:rsid w:val="0045301D"/>
    <w:rsid w:val="0045308B"/>
    <w:rsid w:val="00454001"/>
    <w:rsid w:val="004540DD"/>
    <w:rsid w:val="00454149"/>
    <w:rsid w:val="0045420C"/>
    <w:rsid w:val="0045473D"/>
    <w:rsid w:val="00454B21"/>
    <w:rsid w:val="004556C8"/>
    <w:rsid w:val="00455A24"/>
    <w:rsid w:val="00455BFD"/>
    <w:rsid w:val="00455F76"/>
    <w:rsid w:val="0045665C"/>
    <w:rsid w:val="00456825"/>
    <w:rsid w:val="00456910"/>
    <w:rsid w:val="004571FF"/>
    <w:rsid w:val="004572FC"/>
    <w:rsid w:val="004575EA"/>
    <w:rsid w:val="00457C5D"/>
    <w:rsid w:val="0046011D"/>
    <w:rsid w:val="0046045E"/>
    <w:rsid w:val="0046086C"/>
    <w:rsid w:val="004609CE"/>
    <w:rsid w:val="00460A0A"/>
    <w:rsid w:val="00461001"/>
    <w:rsid w:val="00461147"/>
    <w:rsid w:val="004612DB"/>
    <w:rsid w:val="00461515"/>
    <w:rsid w:val="00461853"/>
    <w:rsid w:val="004621B2"/>
    <w:rsid w:val="00462507"/>
    <w:rsid w:val="00462A0B"/>
    <w:rsid w:val="00462CAD"/>
    <w:rsid w:val="00462F4E"/>
    <w:rsid w:val="004637EE"/>
    <w:rsid w:val="00463803"/>
    <w:rsid w:val="00464250"/>
    <w:rsid w:val="004644BB"/>
    <w:rsid w:val="004645F7"/>
    <w:rsid w:val="00464878"/>
    <w:rsid w:val="00465454"/>
    <w:rsid w:val="004656DF"/>
    <w:rsid w:val="00465A76"/>
    <w:rsid w:val="00465BDF"/>
    <w:rsid w:val="00465D61"/>
    <w:rsid w:val="0046601D"/>
    <w:rsid w:val="00466D25"/>
    <w:rsid w:val="00466F3F"/>
    <w:rsid w:val="004670CF"/>
    <w:rsid w:val="00467109"/>
    <w:rsid w:val="004671DA"/>
    <w:rsid w:val="004672CD"/>
    <w:rsid w:val="0046761B"/>
    <w:rsid w:val="00467738"/>
    <w:rsid w:val="004677A2"/>
    <w:rsid w:val="00467C40"/>
    <w:rsid w:val="00470C99"/>
    <w:rsid w:val="00470CAA"/>
    <w:rsid w:val="00470ECA"/>
    <w:rsid w:val="004711EF"/>
    <w:rsid w:val="00471251"/>
    <w:rsid w:val="00471889"/>
    <w:rsid w:val="00471962"/>
    <w:rsid w:val="00471F6E"/>
    <w:rsid w:val="00472460"/>
    <w:rsid w:val="00472853"/>
    <w:rsid w:val="00472B72"/>
    <w:rsid w:val="00473340"/>
    <w:rsid w:val="00473925"/>
    <w:rsid w:val="00473C49"/>
    <w:rsid w:val="00474461"/>
    <w:rsid w:val="004744DF"/>
    <w:rsid w:val="00474616"/>
    <w:rsid w:val="00474620"/>
    <w:rsid w:val="00474871"/>
    <w:rsid w:val="00474BB3"/>
    <w:rsid w:val="00474ED7"/>
    <w:rsid w:val="00475890"/>
    <w:rsid w:val="00475989"/>
    <w:rsid w:val="00476A3B"/>
    <w:rsid w:val="00476F2E"/>
    <w:rsid w:val="00477336"/>
    <w:rsid w:val="00480268"/>
    <w:rsid w:val="004808E7"/>
    <w:rsid w:val="00481197"/>
    <w:rsid w:val="00481665"/>
    <w:rsid w:val="004819B0"/>
    <w:rsid w:val="00481AEC"/>
    <w:rsid w:val="0048287A"/>
    <w:rsid w:val="00482D33"/>
    <w:rsid w:val="0048307D"/>
    <w:rsid w:val="0048334B"/>
    <w:rsid w:val="00483519"/>
    <w:rsid w:val="0048364E"/>
    <w:rsid w:val="004836F7"/>
    <w:rsid w:val="004839BF"/>
    <w:rsid w:val="00483BDF"/>
    <w:rsid w:val="0048402C"/>
    <w:rsid w:val="0048406F"/>
    <w:rsid w:val="00484078"/>
    <w:rsid w:val="004840D5"/>
    <w:rsid w:val="0048425F"/>
    <w:rsid w:val="00484C0C"/>
    <w:rsid w:val="00484C70"/>
    <w:rsid w:val="0048541A"/>
    <w:rsid w:val="00485520"/>
    <w:rsid w:val="004858A1"/>
    <w:rsid w:val="0048590F"/>
    <w:rsid w:val="00485AC5"/>
    <w:rsid w:val="004860A3"/>
    <w:rsid w:val="0048613D"/>
    <w:rsid w:val="00486243"/>
    <w:rsid w:val="00486F0A"/>
    <w:rsid w:val="00486F3A"/>
    <w:rsid w:val="00486FFC"/>
    <w:rsid w:val="00487362"/>
    <w:rsid w:val="0048740A"/>
    <w:rsid w:val="004878DC"/>
    <w:rsid w:val="004879DF"/>
    <w:rsid w:val="004908F0"/>
    <w:rsid w:val="00490B43"/>
    <w:rsid w:val="00492531"/>
    <w:rsid w:val="00492B86"/>
    <w:rsid w:val="00492DFF"/>
    <w:rsid w:val="00493037"/>
    <w:rsid w:val="00493267"/>
    <w:rsid w:val="00493387"/>
    <w:rsid w:val="00493812"/>
    <w:rsid w:val="00493A10"/>
    <w:rsid w:val="00493B6B"/>
    <w:rsid w:val="004941D0"/>
    <w:rsid w:val="0049435E"/>
    <w:rsid w:val="0049486B"/>
    <w:rsid w:val="00494C2E"/>
    <w:rsid w:val="00494D2C"/>
    <w:rsid w:val="00494D73"/>
    <w:rsid w:val="0049513C"/>
    <w:rsid w:val="004953E5"/>
    <w:rsid w:val="00495710"/>
    <w:rsid w:val="004960C3"/>
    <w:rsid w:val="00496710"/>
    <w:rsid w:val="00496721"/>
    <w:rsid w:val="00496841"/>
    <w:rsid w:val="0049699A"/>
    <w:rsid w:val="00496E1F"/>
    <w:rsid w:val="00496EC0"/>
    <w:rsid w:val="00497205"/>
    <w:rsid w:val="00497D7F"/>
    <w:rsid w:val="00497EA3"/>
    <w:rsid w:val="004A01D2"/>
    <w:rsid w:val="004A0356"/>
    <w:rsid w:val="004A0DAA"/>
    <w:rsid w:val="004A0F68"/>
    <w:rsid w:val="004A1540"/>
    <w:rsid w:val="004A15F8"/>
    <w:rsid w:val="004A1705"/>
    <w:rsid w:val="004A1B9C"/>
    <w:rsid w:val="004A1D47"/>
    <w:rsid w:val="004A1FDD"/>
    <w:rsid w:val="004A226C"/>
    <w:rsid w:val="004A27B3"/>
    <w:rsid w:val="004A2AA4"/>
    <w:rsid w:val="004A2B94"/>
    <w:rsid w:val="004A32D4"/>
    <w:rsid w:val="004A34B9"/>
    <w:rsid w:val="004A385B"/>
    <w:rsid w:val="004A3A14"/>
    <w:rsid w:val="004A42CE"/>
    <w:rsid w:val="004A478C"/>
    <w:rsid w:val="004A4939"/>
    <w:rsid w:val="004A519E"/>
    <w:rsid w:val="004A5C2B"/>
    <w:rsid w:val="004A5D91"/>
    <w:rsid w:val="004A5F48"/>
    <w:rsid w:val="004A633C"/>
    <w:rsid w:val="004A668F"/>
    <w:rsid w:val="004A6854"/>
    <w:rsid w:val="004A69CD"/>
    <w:rsid w:val="004A6DA0"/>
    <w:rsid w:val="004A6E11"/>
    <w:rsid w:val="004A6F74"/>
    <w:rsid w:val="004A7023"/>
    <w:rsid w:val="004A7462"/>
    <w:rsid w:val="004A7869"/>
    <w:rsid w:val="004A7C3D"/>
    <w:rsid w:val="004B027A"/>
    <w:rsid w:val="004B074E"/>
    <w:rsid w:val="004B0852"/>
    <w:rsid w:val="004B0E8F"/>
    <w:rsid w:val="004B1532"/>
    <w:rsid w:val="004B1AFD"/>
    <w:rsid w:val="004B2066"/>
    <w:rsid w:val="004B26A3"/>
    <w:rsid w:val="004B286B"/>
    <w:rsid w:val="004B3271"/>
    <w:rsid w:val="004B3A93"/>
    <w:rsid w:val="004B3B04"/>
    <w:rsid w:val="004B4461"/>
    <w:rsid w:val="004B44B3"/>
    <w:rsid w:val="004B470D"/>
    <w:rsid w:val="004B5191"/>
    <w:rsid w:val="004B5307"/>
    <w:rsid w:val="004B5E7D"/>
    <w:rsid w:val="004B635D"/>
    <w:rsid w:val="004B742A"/>
    <w:rsid w:val="004C0F41"/>
    <w:rsid w:val="004C1536"/>
    <w:rsid w:val="004C1F6B"/>
    <w:rsid w:val="004C206D"/>
    <w:rsid w:val="004C2178"/>
    <w:rsid w:val="004C223D"/>
    <w:rsid w:val="004C257D"/>
    <w:rsid w:val="004C3027"/>
    <w:rsid w:val="004C30AD"/>
    <w:rsid w:val="004C3303"/>
    <w:rsid w:val="004C393C"/>
    <w:rsid w:val="004C3961"/>
    <w:rsid w:val="004C3C21"/>
    <w:rsid w:val="004C3CC1"/>
    <w:rsid w:val="004C3DDA"/>
    <w:rsid w:val="004C44B8"/>
    <w:rsid w:val="004C44C0"/>
    <w:rsid w:val="004C45E7"/>
    <w:rsid w:val="004C4E08"/>
    <w:rsid w:val="004C4FAE"/>
    <w:rsid w:val="004C50DF"/>
    <w:rsid w:val="004C51EE"/>
    <w:rsid w:val="004C547A"/>
    <w:rsid w:val="004C5A99"/>
    <w:rsid w:val="004C5B33"/>
    <w:rsid w:val="004C61FC"/>
    <w:rsid w:val="004C63E6"/>
    <w:rsid w:val="004C66DB"/>
    <w:rsid w:val="004C6AFE"/>
    <w:rsid w:val="004C6E5B"/>
    <w:rsid w:val="004C7A0B"/>
    <w:rsid w:val="004C7BC2"/>
    <w:rsid w:val="004C7F12"/>
    <w:rsid w:val="004D0043"/>
    <w:rsid w:val="004D021D"/>
    <w:rsid w:val="004D0226"/>
    <w:rsid w:val="004D0983"/>
    <w:rsid w:val="004D0A39"/>
    <w:rsid w:val="004D0D19"/>
    <w:rsid w:val="004D1766"/>
    <w:rsid w:val="004D178B"/>
    <w:rsid w:val="004D1B40"/>
    <w:rsid w:val="004D2354"/>
    <w:rsid w:val="004D26F9"/>
    <w:rsid w:val="004D2717"/>
    <w:rsid w:val="004D276B"/>
    <w:rsid w:val="004D27AB"/>
    <w:rsid w:val="004D282E"/>
    <w:rsid w:val="004D2854"/>
    <w:rsid w:val="004D2C59"/>
    <w:rsid w:val="004D32D6"/>
    <w:rsid w:val="004D3A3E"/>
    <w:rsid w:val="004D3A74"/>
    <w:rsid w:val="004D3AA6"/>
    <w:rsid w:val="004D4524"/>
    <w:rsid w:val="004D4711"/>
    <w:rsid w:val="004D4D01"/>
    <w:rsid w:val="004D51B0"/>
    <w:rsid w:val="004D5DC1"/>
    <w:rsid w:val="004D63B7"/>
    <w:rsid w:val="004D649D"/>
    <w:rsid w:val="004D65ED"/>
    <w:rsid w:val="004D664B"/>
    <w:rsid w:val="004D6B32"/>
    <w:rsid w:val="004D784B"/>
    <w:rsid w:val="004E0267"/>
    <w:rsid w:val="004E0872"/>
    <w:rsid w:val="004E0E6A"/>
    <w:rsid w:val="004E18AB"/>
    <w:rsid w:val="004E18E1"/>
    <w:rsid w:val="004E18F6"/>
    <w:rsid w:val="004E19FF"/>
    <w:rsid w:val="004E1BD9"/>
    <w:rsid w:val="004E2644"/>
    <w:rsid w:val="004E2898"/>
    <w:rsid w:val="004E29C1"/>
    <w:rsid w:val="004E2F6F"/>
    <w:rsid w:val="004E3603"/>
    <w:rsid w:val="004E3A5C"/>
    <w:rsid w:val="004E3B2A"/>
    <w:rsid w:val="004E3F28"/>
    <w:rsid w:val="004E4228"/>
    <w:rsid w:val="004E4410"/>
    <w:rsid w:val="004E47C1"/>
    <w:rsid w:val="004E48F2"/>
    <w:rsid w:val="004E4AAE"/>
    <w:rsid w:val="004E4E94"/>
    <w:rsid w:val="004E5084"/>
    <w:rsid w:val="004E5484"/>
    <w:rsid w:val="004E56B8"/>
    <w:rsid w:val="004E57C7"/>
    <w:rsid w:val="004E5913"/>
    <w:rsid w:val="004E5CF8"/>
    <w:rsid w:val="004E5E90"/>
    <w:rsid w:val="004E653D"/>
    <w:rsid w:val="004E66EB"/>
    <w:rsid w:val="004E6741"/>
    <w:rsid w:val="004E696A"/>
    <w:rsid w:val="004E6B68"/>
    <w:rsid w:val="004E7308"/>
    <w:rsid w:val="004E76C3"/>
    <w:rsid w:val="004E7BBB"/>
    <w:rsid w:val="004E7C91"/>
    <w:rsid w:val="004E7F04"/>
    <w:rsid w:val="004F049F"/>
    <w:rsid w:val="004F062F"/>
    <w:rsid w:val="004F067C"/>
    <w:rsid w:val="004F06D3"/>
    <w:rsid w:val="004F0D8D"/>
    <w:rsid w:val="004F0E38"/>
    <w:rsid w:val="004F1444"/>
    <w:rsid w:val="004F1BC1"/>
    <w:rsid w:val="004F21A0"/>
    <w:rsid w:val="004F21F0"/>
    <w:rsid w:val="004F2204"/>
    <w:rsid w:val="004F22D4"/>
    <w:rsid w:val="004F23D8"/>
    <w:rsid w:val="004F25E7"/>
    <w:rsid w:val="004F27FB"/>
    <w:rsid w:val="004F2B80"/>
    <w:rsid w:val="004F2D95"/>
    <w:rsid w:val="004F2E51"/>
    <w:rsid w:val="004F36E4"/>
    <w:rsid w:val="004F36FA"/>
    <w:rsid w:val="004F3AD5"/>
    <w:rsid w:val="004F3D38"/>
    <w:rsid w:val="004F3D3A"/>
    <w:rsid w:val="004F416E"/>
    <w:rsid w:val="004F4270"/>
    <w:rsid w:val="004F44CB"/>
    <w:rsid w:val="004F4646"/>
    <w:rsid w:val="004F4E63"/>
    <w:rsid w:val="004F50A0"/>
    <w:rsid w:val="004F6262"/>
    <w:rsid w:val="004F631C"/>
    <w:rsid w:val="004F6322"/>
    <w:rsid w:val="004F6506"/>
    <w:rsid w:val="004F6760"/>
    <w:rsid w:val="004F67A6"/>
    <w:rsid w:val="004F6A66"/>
    <w:rsid w:val="004F73C4"/>
    <w:rsid w:val="004F7A02"/>
    <w:rsid w:val="004F7CF1"/>
    <w:rsid w:val="004F7D03"/>
    <w:rsid w:val="005004EF"/>
    <w:rsid w:val="00500AD6"/>
    <w:rsid w:val="00500DA7"/>
    <w:rsid w:val="005010E5"/>
    <w:rsid w:val="005011B3"/>
    <w:rsid w:val="005012AE"/>
    <w:rsid w:val="005014E8"/>
    <w:rsid w:val="005015FC"/>
    <w:rsid w:val="0050185D"/>
    <w:rsid w:val="00501A34"/>
    <w:rsid w:val="00501B26"/>
    <w:rsid w:val="00501D35"/>
    <w:rsid w:val="005026CB"/>
    <w:rsid w:val="00502B9E"/>
    <w:rsid w:val="00502C15"/>
    <w:rsid w:val="00503150"/>
    <w:rsid w:val="0050350D"/>
    <w:rsid w:val="00503559"/>
    <w:rsid w:val="005039D5"/>
    <w:rsid w:val="00503F2A"/>
    <w:rsid w:val="00503F7A"/>
    <w:rsid w:val="005043DD"/>
    <w:rsid w:val="0050444F"/>
    <w:rsid w:val="0050456A"/>
    <w:rsid w:val="00504E3A"/>
    <w:rsid w:val="00504F58"/>
    <w:rsid w:val="005053BB"/>
    <w:rsid w:val="005056FF"/>
    <w:rsid w:val="00505A1C"/>
    <w:rsid w:val="00505A2E"/>
    <w:rsid w:val="00505AFE"/>
    <w:rsid w:val="0050602C"/>
    <w:rsid w:val="00506131"/>
    <w:rsid w:val="0050662B"/>
    <w:rsid w:val="00506C7C"/>
    <w:rsid w:val="005073F2"/>
    <w:rsid w:val="00507B86"/>
    <w:rsid w:val="00507D14"/>
    <w:rsid w:val="00507D41"/>
    <w:rsid w:val="005100EB"/>
    <w:rsid w:val="00510417"/>
    <w:rsid w:val="00510597"/>
    <w:rsid w:val="0051077D"/>
    <w:rsid w:val="005107B2"/>
    <w:rsid w:val="00510FDB"/>
    <w:rsid w:val="00511370"/>
    <w:rsid w:val="0051142F"/>
    <w:rsid w:val="00511735"/>
    <w:rsid w:val="005119E9"/>
    <w:rsid w:val="00512022"/>
    <w:rsid w:val="0051255E"/>
    <w:rsid w:val="00512D5A"/>
    <w:rsid w:val="005131F7"/>
    <w:rsid w:val="00513B43"/>
    <w:rsid w:val="00513C66"/>
    <w:rsid w:val="00513D75"/>
    <w:rsid w:val="00513FFE"/>
    <w:rsid w:val="00514000"/>
    <w:rsid w:val="00514169"/>
    <w:rsid w:val="00514557"/>
    <w:rsid w:val="00514D7F"/>
    <w:rsid w:val="00515321"/>
    <w:rsid w:val="00515A4F"/>
    <w:rsid w:val="00515EC7"/>
    <w:rsid w:val="005169F8"/>
    <w:rsid w:val="00516DE9"/>
    <w:rsid w:val="00516E77"/>
    <w:rsid w:val="005174AC"/>
    <w:rsid w:val="00517AA4"/>
    <w:rsid w:val="00520676"/>
    <w:rsid w:val="005207EB"/>
    <w:rsid w:val="005212FF"/>
    <w:rsid w:val="005214E7"/>
    <w:rsid w:val="005219D3"/>
    <w:rsid w:val="00521E1F"/>
    <w:rsid w:val="00522131"/>
    <w:rsid w:val="00522687"/>
    <w:rsid w:val="0052362C"/>
    <w:rsid w:val="00523639"/>
    <w:rsid w:val="00523640"/>
    <w:rsid w:val="00523E72"/>
    <w:rsid w:val="00524388"/>
    <w:rsid w:val="0052497E"/>
    <w:rsid w:val="00524990"/>
    <w:rsid w:val="00525872"/>
    <w:rsid w:val="00525940"/>
    <w:rsid w:val="00525A2B"/>
    <w:rsid w:val="00525CD3"/>
    <w:rsid w:val="0052766F"/>
    <w:rsid w:val="0052782D"/>
    <w:rsid w:val="00527929"/>
    <w:rsid w:val="00527C7E"/>
    <w:rsid w:val="00530AA7"/>
    <w:rsid w:val="00530BC1"/>
    <w:rsid w:val="00530F47"/>
    <w:rsid w:val="005311E8"/>
    <w:rsid w:val="005314F9"/>
    <w:rsid w:val="005315D1"/>
    <w:rsid w:val="00531712"/>
    <w:rsid w:val="00531B13"/>
    <w:rsid w:val="00531DE9"/>
    <w:rsid w:val="005321B6"/>
    <w:rsid w:val="005328FF"/>
    <w:rsid w:val="00532B4E"/>
    <w:rsid w:val="00532F48"/>
    <w:rsid w:val="00533D08"/>
    <w:rsid w:val="00533D70"/>
    <w:rsid w:val="00533FBB"/>
    <w:rsid w:val="00533FD7"/>
    <w:rsid w:val="005341C7"/>
    <w:rsid w:val="005347C4"/>
    <w:rsid w:val="005347D1"/>
    <w:rsid w:val="00535484"/>
    <w:rsid w:val="0053548F"/>
    <w:rsid w:val="00535597"/>
    <w:rsid w:val="00535B8E"/>
    <w:rsid w:val="00535F9D"/>
    <w:rsid w:val="005360F3"/>
    <w:rsid w:val="005369BB"/>
    <w:rsid w:val="00536B88"/>
    <w:rsid w:val="00536F80"/>
    <w:rsid w:val="00537BC2"/>
    <w:rsid w:val="00537CB3"/>
    <w:rsid w:val="00540129"/>
    <w:rsid w:val="00540133"/>
    <w:rsid w:val="0054015A"/>
    <w:rsid w:val="005403BC"/>
    <w:rsid w:val="00540441"/>
    <w:rsid w:val="0054053E"/>
    <w:rsid w:val="00540957"/>
    <w:rsid w:val="00541608"/>
    <w:rsid w:val="005419E1"/>
    <w:rsid w:val="00542B3F"/>
    <w:rsid w:val="00542F4A"/>
    <w:rsid w:val="005436A6"/>
    <w:rsid w:val="00543BFE"/>
    <w:rsid w:val="00544336"/>
    <w:rsid w:val="00544995"/>
    <w:rsid w:val="00544BAD"/>
    <w:rsid w:val="00544C5F"/>
    <w:rsid w:val="0054533E"/>
    <w:rsid w:val="00545480"/>
    <w:rsid w:val="00545742"/>
    <w:rsid w:val="005460EE"/>
    <w:rsid w:val="005461D4"/>
    <w:rsid w:val="0054668A"/>
    <w:rsid w:val="005467BF"/>
    <w:rsid w:val="00546C4E"/>
    <w:rsid w:val="00546EA9"/>
    <w:rsid w:val="005472D1"/>
    <w:rsid w:val="005474DF"/>
    <w:rsid w:val="00547611"/>
    <w:rsid w:val="005476E1"/>
    <w:rsid w:val="0055016E"/>
    <w:rsid w:val="005511B1"/>
    <w:rsid w:val="0055122E"/>
    <w:rsid w:val="005516CD"/>
    <w:rsid w:val="005517DE"/>
    <w:rsid w:val="00551A41"/>
    <w:rsid w:val="00551A70"/>
    <w:rsid w:val="00551BC5"/>
    <w:rsid w:val="00551E0C"/>
    <w:rsid w:val="00552010"/>
    <w:rsid w:val="0055247D"/>
    <w:rsid w:val="005525F1"/>
    <w:rsid w:val="00552BA1"/>
    <w:rsid w:val="00552EA1"/>
    <w:rsid w:val="00553A97"/>
    <w:rsid w:val="00553B16"/>
    <w:rsid w:val="00553C5A"/>
    <w:rsid w:val="00553C95"/>
    <w:rsid w:val="005544AF"/>
    <w:rsid w:val="00554586"/>
    <w:rsid w:val="005546AD"/>
    <w:rsid w:val="005546D4"/>
    <w:rsid w:val="00554819"/>
    <w:rsid w:val="00555AC8"/>
    <w:rsid w:val="00555BD1"/>
    <w:rsid w:val="00555E37"/>
    <w:rsid w:val="00556676"/>
    <w:rsid w:val="00556680"/>
    <w:rsid w:val="00556890"/>
    <w:rsid w:val="00556972"/>
    <w:rsid w:val="00556A3C"/>
    <w:rsid w:val="00556AC2"/>
    <w:rsid w:val="0055700C"/>
    <w:rsid w:val="005574E8"/>
    <w:rsid w:val="005577D9"/>
    <w:rsid w:val="00557E1D"/>
    <w:rsid w:val="00560143"/>
    <w:rsid w:val="0056018C"/>
    <w:rsid w:val="00560356"/>
    <w:rsid w:val="0056075F"/>
    <w:rsid w:val="0056091C"/>
    <w:rsid w:val="00560F69"/>
    <w:rsid w:val="0056197A"/>
    <w:rsid w:val="00562301"/>
    <w:rsid w:val="00562724"/>
    <w:rsid w:val="005634FE"/>
    <w:rsid w:val="0056377C"/>
    <w:rsid w:val="00563CE7"/>
    <w:rsid w:val="00564487"/>
    <w:rsid w:val="00564710"/>
    <w:rsid w:val="00564CCF"/>
    <w:rsid w:val="005655FD"/>
    <w:rsid w:val="005659DA"/>
    <w:rsid w:val="00565A76"/>
    <w:rsid w:val="00565DEB"/>
    <w:rsid w:val="0056621E"/>
    <w:rsid w:val="0056689D"/>
    <w:rsid w:val="00566A2F"/>
    <w:rsid w:val="00566D84"/>
    <w:rsid w:val="00566DFD"/>
    <w:rsid w:val="00567069"/>
    <w:rsid w:val="005670FE"/>
    <w:rsid w:val="00567D37"/>
    <w:rsid w:val="00567E2A"/>
    <w:rsid w:val="00570E28"/>
    <w:rsid w:val="0057106F"/>
    <w:rsid w:val="0057134B"/>
    <w:rsid w:val="005718A6"/>
    <w:rsid w:val="00571A73"/>
    <w:rsid w:val="00571D98"/>
    <w:rsid w:val="00571DAA"/>
    <w:rsid w:val="00571FB0"/>
    <w:rsid w:val="0057209D"/>
    <w:rsid w:val="0057254D"/>
    <w:rsid w:val="0057285C"/>
    <w:rsid w:val="00572B26"/>
    <w:rsid w:val="00572B8B"/>
    <w:rsid w:val="0057339B"/>
    <w:rsid w:val="00573450"/>
    <w:rsid w:val="00573838"/>
    <w:rsid w:val="00573949"/>
    <w:rsid w:val="00573E1D"/>
    <w:rsid w:val="005741BD"/>
    <w:rsid w:val="005746E8"/>
    <w:rsid w:val="00574DD4"/>
    <w:rsid w:val="00574EC0"/>
    <w:rsid w:val="0057518D"/>
    <w:rsid w:val="005754B9"/>
    <w:rsid w:val="005754FE"/>
    <w:rsid w:val="00575900"/>
    <w:rsid w:val="00575D1F"/>
    <w:rsid w:val="0057649C"/>
    <w:rsid w:val="00576553"/>
    <w:rsid w:val="00576812"/>
    <w:rsid w:val="00576959"/>
    <w:rsid w:val="00576C85"/>
    <w:rsid w:val="00576DCF"/>
    <w:rsid w:val="00577286"/>
    <w:rsid w:val="005772E7"/>
    <w:rsid w:val="00577604"/>
    <w:rsid w:val="005805BC"/>
    <w:rsid w:val="00580880"/>
    <w:rsid w:val="005808D6"/>
    <w:rsid w:val="00580994"/>
    <w:rsid w:val="00580B2F"/>
    <w:rsid w:val="00581266"/>
    <w:rsid w:val="005812F4"/>
    <w:rsid w:val="00581574"/>
    <w:rsid w:val="0058180E"/>
    <w:rsid w:val="00581F03"/>
    <w:rsid w:val="00582394"/>
    <w:rsid w:val="005830E9"/>
    <w:rsid w:val="00583987"/>
    <w:rsid w:val="00583BA8"/>
    <w:rsid w:val="00583C81"/>
    <w:rsid w:val="00583DC7"/>
    <w:rsid w:val="00583EBC"/>
    <w:rsid w:val="0058446E"/>
    <w:rsid w:val="005849A4"/>
    <w:rsid w:val="00586540"/>
    <w:rsid w:val="00586B21"/>
    <w:rsid w:val="00586D9A"/>
    <w:rsid w:val="005872FB"/>
    <w:rsid w:val="00587636"/>
    <w:rsid w:val="00587752"/>
    <w:rsid w:val="00587C07"/>
    <w:rsid w:val="005902CB"/>
    <w:rsid w:val="00591063"/>
    <w:rsid w:val="005915A8"/>
    <w:rsid w:val="00591A69"/>
    <w:rsid w:val="00591B11"/>
    <w:rsid w:val="00591B70"/>
    <w:rsid w:val="00591BE3"/>
    <w:rsid w:val="00591D96"/>
    <w:rsid w:val="00591EA3"/>
    <w:rsid w:val="00592541"/>
    <w:rsid w:val="005928C6"/>
    <w:rsid w:val="00592BB4"/>
    <w:rsid w:val="00593311"/>
    <w:rsid w:val="005934D0"/>
    <w:rsid w:val="005939E9"/>
    <w:rsid w:val="00593D1A"/>
    <w:rsid w:val="00593EC5"/>
    <w:rsid w:val="00594316"/>
    <w:rsid w:val="005943B1"/>
    <w:rsid w:val="005947C2"/>
    <w:rsid w:val="00594CBF"/>
    <w:rsid w:val="00594E1F"/>
    <w:rsid w:val="00594E8D"/>
    <w:rsid w:val="00594FF9"/>
    <w:rsid w:val="00595023"/>
    <w:rsid w:val="00595B93"/>
    <w:rsid w:val="00596136"/>
    <w:rsid w:val="0059759A"/>
    <w:rsid w:val="00597783"/>
    <w:rsid w:val="005A0197"/>
    <w:rsid w:val="005A064D"/>
    <w:rsid w:val="005A0694"/>
    <w:rsid w:val="005A1036"/>
    <w:rsid w:val="005A12BD"/>
    <w:rsid w:val="005A13A1"/>
    <w:rsid w:val="005A1534"/>
    <w:rsid w:val="005A1D54"/>
    <w:rsid w:val="005A1F74"/>
    <w:rsid w:val="005A28B1"/>
    <w:rsid w:val="005A2904"/>
    <w:rsid w:val="005A2C6B"/>
    <w:rsid w:val="005A2E9B"/>
    <w:rsid w:val="005A2F62"/>
    <w:rsid w:val="005A327F"/>
    <w:rsid w:val="005A385C"/>
    <w:rsid w:val="005A38C7"/>
    <w:rsid w:val="005A3CF3"/>
    <w:rsid w:val="005A3F9A"/>
    <w:rsid w:val="005A40AF"/>
    <w:rsid w:val="005A4696"/>
    <w:rsid w:val="005A4A2F"/>
    <w:rsid w:val="005A4D1F"/>
    <w:rsid w:val="005A534F"/>
    <w:rsid w:val="005A5394"/>
    <w:rsid w:val="005A5B81"/>
    <w:rsid w:val="005A5C31"/>
    <w:rsid w:val="005A5C75"/>
    <w:rsid w:val="005A6912"/>
    <w:rsid w:val="005A7100"/>
    <w:rsid w:val="005A71CB"/>
    <w:rsid w:val="005A7D87"/>
    <w:rsid w:val="005A7E99"/>
    <w:rsid w:val="005B000A"/>
    <w:rsid w:val="005B0343"/>
    <w:rsid w:val="005B0A47"/>
    <w:rsid w:val="005B0AFE"/>
    <w:rsid w:val="005B111C"/>
    <w:rsid w:val="005B126B"/>
    <w:rsid w:val="005B141A"/>
    <w:rsid w:val="005B1692"/>
    <w:rsid w:val="005B1DAA"/>
    <w:rsid w:val="005B1E9B"/>
    <w:rsid w:val="005B2581"/>
    <w:rsid w:val="005B3176"/>
    <w:rsid w:val="005B31A7"/>
    <w:rsid w:val="005B38B8"/>
    <w:rsid w:val="005B3ADF"/>
    <w:rsid w:val="005B3D66"/>
    <w:rsid w:val="005B4030"/>
    <w:rsid w:val="005B437E"/>
    <w:rsid w:val="005B4479"/>
    <w:rsid w:val="005B4629"/>
    <w:rsid w:val="005B509E"/>
    <w:rsid w:val="005B5562"/>
    <w:rsid w:val="005B5696"/>
    <w:rsid w:val="005B57A0"/>
    <w:rsid w:val="005B5A65"/>
    <w:rsid w:val="005B6266"/>
    <w:rsid w:val="005B646B"/>
    <w:rsid w:val="005B6BD1"/>
    <w:rsid w:val="005B6C5F"/>
    <w:rsid w:val="005B6EDF"/>
    <w:rsid w:val="005B75E0"/>
    <w:rsid w:val="005C0219"/>
    <w:rsid w:val="005C0A69"/>
    <w:rsid w:val="005C0B78"/>
    <w:rsid w:val="005C0BCD"/>
    <w:rsid w:val="005C0F6D"/>
    <w:rsid w:val="005C1320"/>
    <w:rsid w:val="005C181A"/>
    <w:rsid w:val="005C1CA3"/>
    <w:rsid w:val="005C1ED2"/>
    <w:rsid w:val="005C231F"/>
    <w:rsid w:val="005C28C2"/>
    <w:rsid w:val="005C2919"/>
    <w:rsid w:val="005C333D"/>
    <w:rsid w:val="005C33B4"/>
    <w:rsid w:val="005C3424"/>
    <w:rsid w:val="005C36B5"/>
    <w:rsid w:val="005C375B"/>
    <w:rsid w:val="005C3ECA"/>
    <w:rsid w:val="005C406F"/>
    <w:rsid w:val="005C4117"/>
    <w:rsid w:val="005C41D0"/>
    <w:rsid w:val="005C45CB"/>
    <w:rsid w:val="005C47D3"/>
    <w:rsid w:val="005C4F7F"/>
    <w:rsid w:val="005C557B"/>
    <w:rsid w:val="005C5F89"/>
    <w:rsid w:val="005C6872"/>
    <w:rsid w:val="005C7029"/>
    <w:rsid w:val="005C7085"/>
    <w:rsid w:val="005C719F"/>
    <w:rsid w:val="005C71F4"/>
    <w:rsid w:val="005C763D"/>
    <w:rsid w:val="005C7D0A"/>
    <w:rsid w:val="005C7DCB"/>
    <w:rsid w:val="005D0313"/>
    <w:rsid w:val="005D0321"/>
    <w:rsid w:val="005D06C7"/>
    <w:rsid w:val="005D08EC"/>
    <w:rsid w:val="005D0A9E"/>
    <w:rsid w:val="005D0AAC"/>
    <w:rsid w:val="005D0F32"/>
    <w:rsid w:val="005D14F6"/>
    <w:rsid w:val="005D1A58"/>
    <w:rsid w:val="005D1E57"/>
    <w:rsid w:val="005D233E"/>
    <w:rsid w:val="005D28A7"/>
    <w:rsid w:val="005D2CB4"/>
    <w:rsid w:val="005D35E0"/>
    <w:rsid w:val="005D3640"/>
    <w:rsid w:val="005D38C9"/>
    <w:rsid w:val="005D39E6"/>
    <w:rsid w:val="005D3ED6"/>
    <w:rsid w:val="005D3EF2"/>
    <w:rsid w:val="005D3FFD"/>
    <w:rsid w:val="005D4146"/>
    <w:rsid w:val="005D433A"/>
    <w:rsid w:val="005D49B6"/>
    <w:rsid w:val="005D4B89"/>
    <w:rsid w:val="005D4DDE"/>
    <w:rsid w:val="005D5327"/>
    <w:rsid w:val="005D569E"/>
    <w:rsid w:val="005D58B8"/>
    <w:rsid w:val="005D5B5D"/>
    <w:rsid w:val="005D5E9F"/>
    <w:rsid w:val="005D6304"/>
    <w:rsid w:val="005D655C"/>
    <w:rsid w:val="005D6676"/>
    <w:rsid w:val="005D6BBD"/>
    <w:rsid w:val="005D6F4A"/>
    <w:rsid w:val="005D73DA"/>
    <w:rsid w:val="005D74EC"/>
    <w:rsid w:val="005D75B9"/>
    <w:rsid w:val="005D7855"/>
    <w:rsid w:val="005D7D98"/>
    <w:rsid w:val="005E097B"/>
    <w:rsid w:val="005E0F87"/>
    <w:rsid w:val="005E13B3"/>
    <w:rsid w:val="005E1479"/>
    <w:rsid w:val="005E148B"/>
    <w:rsid w:val="005E19A9"/>
    <w:rsid w:val="005E1BC1"/>
    <w:rsid w:val="005E1C8B"/>
    <w:rsid w:val="005E1CCA"/>
    <w:rsid w:val="005E1D1E"/>
    <w:rsid w:val="005E1E16"/>
    <w:rsid w:val="005E1F70"/>
    <w:rsid w:val="005E2196"/>
    <w:rsid w:val="005E24D2"/>
    <w:rsid w:val="005E252E"/>
    <w:rsid w:val="005E29BA"/>
    <w:rsid w:val="005E36E4"/>
    <w:rsid w:val="005E3996"/>
    <w:rsid w:val="005E3B0E"/>
    <w:rsid w:val="005E3FC9"/>
    <w:rsid w:val="005E445A"/>
    <w:rsid w:val="005E48C5"/>
    <w:rsid w:val="005E4D10"/>
    <w:rsid w:val="005E4E6B"/>
    <w:rsid w:val="005E4EEB"/>
    <w:rsid w:val="005E4F1C"/>
    <w:rsid w:val="005E544A"/>
    <w:rsid w:val="005E5696"/>
    <w:rsid w:val="005E601D"/>
    <w:rsid w:val="005E60E7"/>
    <w:rsid w:val="005E615D"/>
    <w:rsid w:val="005E630D"/>
    <w:rsid w:val="005E6768"/>
    <w:rsid w:val="005E68D3"/>
    <w:rsid w:val="005E6F60"/>
    <w:rsid w:val="005E70CF"/>
    <w:rsid w:val="005E7406"/>
    <w:rsid w:val="005E763E"/>
    <w:rsid w:val="005E7EAA"/>
    <w:rsid w:val="005E7FC7"/>
    <w:rsid w:val="005F0484"/>
    <w:rsid w:val="005F0F1F"/>
    <w:rsid w:val="005F111C"/>
    <w:rsid w:val="005F1858"/>
    <w:rsid w:val="005F1D59"/>
    <w:rsid w:val="005F1FC5"/>
    <w:rsid w:val="005F2187"/>
    <w:rsid w:val="005F31A0"/>
    <w:rsid w:val="005F346D"/>
    <w:rsid w:val="005F3799"/>
    <w:rsid w:val="005F3E05"/>
    <w:rsid w:val="005F4370"/>
    <w:rsid w:val="005F4766"/>
    <w:rsid w:val="005F4965"/>
    <w:rsid w:val="005F4B5E"/>
    <w:rsid w:val="005F4C32"/>
    <w:rsid w:val="005F524F"/>
    <w:rsid w:val="005F5A0C"/>
    <w:rsid w:val="005F66C6"/>
    <w:rsid w:val="005F6D2F"/>
    <w:rsid w:val="005F7232"/>
    <w:rsid w:val="005F74B4"/>
    <w:rsid w:val="005F751E"/>
    <w:rsid w:val="005F75D7"/>
    <w:rsid w:val="005F7FA7"/>
    <w:rsid w:val="006002EA"/>
    <w:rsid w:val="006009CC"/>
    <w:rsid w:val="0060113D"/>
    <w:rsid w:val="006015A1"/>
    <w:rsid w:val="006026A1"/>
    <w:rsid w:val="00602807"/>
    <w:rsid w:val="006029D3"/>
    <w:rsid w:val="00603205"/>
    <w:rsid w:val="0060325F"/>
    <w:rsid w:val="00603725"/>
    <w:rsid w:val="00603A07"/>
    <w:rsid w:val="00603BA6"/>
    <w:rsid w:val="006040C0"/>
    <w:rsid w:val="006042BE"/>
    <w:rsid w:val="00604854"/>
    <w:rsid w:val="0060495E"/>
    <w:rsid w:val="00604AD4"/>
    <w:rsid w:val="00604BCC"/>
    <w:rsid w:val="00604E20"/>
    <w:rsid w:val="00605051"/>
    <w:rsid w:val="0060578B"/>
    <w:rsid w:val="00605A24"/>
    <w:rsid w:val="00606184"/>
    <w:rsid w:val="00606505"/>
    <w:rsid w:val="00606798"/>
    <w:rsid w:val="00606CC6"/>
    <w:rsid w:val="00606D5D"/>
    <w:rsid w:val="00607235"/>
    <w:rsid w:val="0060723A"/>
    <w:rsid w:val="0060776E"/>
    <w:rsid w:val="00607AEB"/>
    <w:rsid w:val="00607D95"/>
    <w:rsid w:val="0061005E"/>
    <w:rsid w:val="0061013A"/>
    <w:rsid w:val="006102CD"/>
    <w:rsid w:val="00610395"/>
    <w:rsid w:val="00610B9D"/>
    <w:rsid w:val="00610F61"/>
    <w:rsid w:val="00611495"/>
    <w:rsid w:val="0061182D"/>
    <w:rsid w:val="00611DF7"/>
    <w:rsid w:val="00611FE3"/>
    <w:rsid w:val="0061201F"/>
    <w:rsid w:val="006122B3"/>
    <w:rsid w:val="00612340"/>
    <w:rsid w:val="00612366"/>
    <w:rsid w:val="00612898"/>
    <w:rsid w:val="006128A8"/>
    <w:rsid w:val="006132FB"/>
    <w:rsid w:val="00613542"/>
    <w:rsid w:val="00613B48"/>
    <w:rsid w:val="00613C56"/>
    <w:rsid w:val="00613CFE"/>
    <w:rsid w:val="006140A7"/>
    <w:rsid w:val="006140C9"/>
    <w:rsid w:val="0061461D"/>
    <w:rsid w:val="00615180"/>
    <w:rsid w:val="006154C8"/>
    <w:rsid w:val="0061587E"/>
    <w:rsid w:val="006159EB"/>
    <w:rsid w:val="00615E06"/>
    <w:rsid w:val="006167D1"/>
    <w:rsid w:val="00616814"/>
    <w:rsid w:val="00617369"/>
    <w:rsid w:val="006174A7"/>
    <w:rsid w:val="006174C3"/>
    <w:rsid w:val="00617914"/>
    <w:rsid w:val="00617AB3"/>
    <w:rsid w:val="00617ABA"/>
    <w:rsid w:val="00620505"/>
    <w:rsid w:val="006208D9"/>
    <w:rsid w:val="00620B22"/>
    <w:rsid w:val="006210DD"/>
    <w:rsid w:val="00621217"/>
    <w:rsid w:val="00621423"/>
    <w:rsid w:val="00621994"/>
    <w:rsid w:val="00621FE9"/>
    <w:rsid w:val="00622020"/>
    <w:rsid w:val="00622820"/>
    <w:rsid w:val="0062297B"/>
    <w:rsid w:val="00622A8E"/>
    <w:rsid w:val="0062300F"/>
    <w:rsid w:val="006238D8"/>
    <w:rsid w:val="00623EE5"/>
    <w:rsid w:val="0062405C"/>
    <w:rsid w:val="006240C9"/>
    <w:rsid w:val="0062415B"/>
    <w:rsid w:val="006247F2"/>
    <w:rsid w:val="0062490F"/>
    <w:rsid w:val="00624E09"/>
    <w:rsid w:val="006250F4"/>
    <w:rsid w:val="006251A5"/>
    <w:rsid w:val="0062520A"/>
    <w:rsid w:val="006252C5"/>
    <w:rsid w:val="006256B2"/>
    <w:rsid w:val="00625851"/>
    <w:rsid w:val="0062593B"/>
    <w:rsid w:val="00625DBA"/>
    <w:rsid w:val="00626025"/>
    <w:rsid w:val="00626C63"/>
    <w:rsid w:val="006275C9"/>
    <w:rsid w:val="00627750"/>
    <w:rsid w:val="006279E8"/>
    <w:rsid w:val="006302AC"/>
    <w:rsid w:val="00630354"/>
    <w:rsid w:val="006312FF"/>
    <w:rsid w:val="006313B5"/>
    <w:rsid w:val="0063157E"/>
    <w:rsid w:val="00631CE1"/>
    <w:rsid w:val="00631D01"/>
    <w:rsid w:val="00631F45"/>
    <w:rsid w:val="00632A0E"/>
    <w:rsid w:val="00632B0A"/>
    <w:rsid w:val="00632C34"/>
    <w:rsid w:val="00632CAE"/>
    <w:rsid w:val="00632ECB"/>
    <w:rsid w:val="00633ABD"/>
    <w:rsid w:val="00633CB7"/>
    <w:rsid w:val="006347CE"/>
    <w:rsid w:val="00634B57"/>
    <w:rsid w:val="00634C30"/>
    <w:rsid w:val="006357DE"/>
    <w:rsid w:val="006358C3"/>
    <w:rsid w:val="00635A6D"/>
    <w:rsid w:val="006361BA"/>
    <w:rsid w:val="0063625F"/>
    <w:rsid w:val="0063683E"/>
    <w:rsid w:val="00636866"/>
    <w:rsid w:val="00637A4F"/>
    <w:rsid w:val="006407AC"/>
    <w:rsid w:val="00640D9F"/>
    <w:rsid w:val="006413B0"/>
    <w:rsid w:val="00641419"/>
    <w:rsid w:val="00641D64"/>
    <w:rsid w:val="006420D4"/>
    <w:rsid w:val="00642275"/>
    <w:rsid w:val="00642E2A"/>
    <w:rsid w:val="006430D7"/>
    <w:rsid w:val="006438F2"/>
    <w:rsid w:val="006439D4"/>
    <w:rsid w:val="00643C8B"/>
    <w:rsid w:val="006444D5"/>
    <w:rsid w:val="00644BAB"/>
    <w:rsid w:val="00644CDA"/>
    <w:rsid w:val="00644EFC"/>
    <w:rsid w:val="0064534C"/>
    <w:rsid w:val="00645455"/>
    <w:rsid w:val="00646817"/>
    <w:rsid w:val="00646C39"/>
    <w:rsid w:val="00646DED"/>
    <w:rsid w:val="00647169"/>
    <w:rsid w:val="00647A61"/>
    <w:rsid w:val="00647BF5"/>
    <w:rsid w:val="00647D87"/>
    <w:rsid w:val="00647DDC"/>
    <w:rsid w:val="00647E1E"/>
    <w:rsid w:val="00647E8B"/>
    <w:rsid w:val="00647FCB"/>
    <w:rsid w:val="00650060"/>
    <w:rsid w:val="0065018F"/>
    <w:rsid w:val="00650F2F"/>
    <w:rsid w:val="00650FF9"/>
    <w:rsid w:val="00650FFB"/>
    <w:rsid w:val="0065105F"/>
    <w:rsid w:val="0065152E"/>
    <w:rsid w:val="00651602"/>
    <w:rsid w:val="00652798"/>
    <w:rsid w:val="006527FC"/>
    <w:rsid w:val="00653158"/>
    <w:rsid w:val="006544AC"/>
    <w:rsid w:val="006547EF"/>
    <w:rsid w:val="00654811"/>
    <w:rsid w:val="00654D4A"/>
    <w:rsid w:val="00654F13"/>
    <w:rsid w:val="00654F7A"/>
    <w:rsid w:val="0065511F"/>
    <w:rsid w:val="006565F0"/>
    <w:rsid w:val="00656E32"/>
    <w:rsid w:val="0065729D"/>
    <w:rsid w:val="00657B86"/>
    <w:rsid w:val="00657E1A"/>
    <w:rsid w:val="00657E90"/>
    <w:rsid w:val="00657F81"/>
    <w:rsid w:val="00661123"/>
    <w:rsid w:val="00661127"/>
    <w:rsid w:val="00661567"/>
    <w:rsid w:val="00661950"/>
    <w:rsid w:val="00661A21"/>
    <w:rsid w:val="00661C1F"/>
    <w:rsid w:val="00661C4B"/>
    <w:rsid w:val="00661F31"/>
    <w:rsid w:val="006626E8"/>
    <w:rsid w:val="006628F2"/>
    <w:rsid w:val="0066293E"/>
    <w:rsid w:val="00662D1C"/>
    <w:rsid w:val="006634A2"/>
    <w:rsid w:val="00663646"/>
    <w:rsid w:val="00663BEB"/>
    <w:rsid w:val="0066436E"/>
    <w:rsid w:val="006643E1"/>
    <w:rsid w:val="006645CA"/>
    <w:rsid w:val="00664AAB"/>
    <w:rsid w:val="00664D77"/>
    <w:rsid w:val="00664DA9"/>
    <w:rsid w:val="00664E0B"/>
    <w:rsid w:val="0066505A"/>
    <w:rsid w:val="00665267"/>
    <w:rsid w:val="006655BA"/>
    <w:rsid w:val="006656DA"/>
    <w:rsid w:val="0066587E"/>
    <w:rsid w:val="00665C58"/>
    <w:rsid w:val="00665F06"/>
    <w:rsid w:val="006664F8"/>
    <w:rsid w:val="006664FE"/>
    <w:rsid w:val="00666862"/>
    <w:rsid w:val="006668D9"/>
    <w:rsid w:val="00666932"/>
    <w:rsid w:val="00666D47"/>
    <w:rsid w:val="00666E79"/>
    <w:rsid w:val="006678BA"/>
    <w:rsid w:val="0067047E"/>
    <w:rsid w:val="006705B8"/>
    <w:rsid w:val="006709D1"/>
    <w:rsid w:val="006713D2"/>
    <w:rsid w:val="006717EA"/>
    <w:rsid w:val="00671A2E"/>
    <w:rsid w:val="00672637"/>
    <w:rsid w:val="00672792"/>
    <w:rsid w:val="006734F4"/>
    <w:rsid w:val="00673C5B"/>
    <w:rsid w:val="006740ED"/>
    <w:rsid w:val="006741E3"/>
    <w:rsid w:val="006741F3"/>
    <w:rsid w:val="00674382"/>
    <w:rsid w:val="006743B0"/>
    <w:rsid w:val="00675104"/>
    <w:rsid w:val="00675AE6"/>
    <w:rsid w:val="0067617B"/>
    <w:rsid w:val="00676591"/>
    <w:rsid w:val="00676697"/>
    <w:rsid w:val="00676AFB"/>
    <w:rsid w:val="0067707D"/>
    <w:rsid w:val="00677283"/>
    <w:rsid w:val="0067737F"/>
    <w:rsid w:val="00677539"/>
    <w:rsid w:val="006775CD"/>
    <w:rsid w:val="00680849"/>
    <w:rsid w:val="0068084F"/>
    <w:rsid w:val="00680DE8"/>
    <w:rsid w:val="00680DF3"/>
    <w:rsid w:val="006810D7"/>
    <w:rsid w:val="006810F6"/>
    <w:rsid w:val="0068152C"/>
    <w:rsid w:val="006817F0"/>
    <w:rsid w:val="0068239B"/>
    <w:rsid w:val="00682425"/>
    <w:rsid w:val="00682575"/>
    <w:rsid w:val="006826DE"/>
    <w:rsid w:val="00682B3D"/>
    <w:rsid w:val="00682E82"/>
    <w:rsid w:val="00682F7F"/>
    <w:rsid w:val="00683201"/>
    <w:rsid w:val="00683638"/>
    <w:rsid w:val="00683A78"/>
    <w:rsid w:val="00683B7C"/>
    <w:rsid w:val="00684047"/>
    <w:rsid w:val="006843E6"/>
    <w:rsid w:val="00684597"/>
    <w:rsid w:val="0068498F"/>
    <w:rsid w:val="00684B45"/>
    <w:rsid w:val="00684D4B"/>
    <w:rsid w:val="00684E82"/>
    <w:rsid w:val="006850D2"/>
    <w:rsid w:val="0068556C"/>
    <w:rsid w:val="00685868"/>
    <w:rsid w:val="0068595E"/>
    <w:rsid w:val="00685AE7"/>
    <w:rsid w:val="006864BE"/>
    <w:rsid w:val="0068652D"/>
    <w:rsid w:val="00686B77"/>
    <w:rsid w:val="00686F88"/>
    <w:rsid w:val="0068782D"/>
    <w:rsid w:val="006878B0"/>
    <w:rsid w:val="00687F50"/>
    <w:rsid w:val="00687FA6"/>
    <w:rsid w:val="006902B0"/>
    <w:rsid w:val="00690487"/>
    <w:rsid w:val="00690C38"/>
    <w:rsid w:val="00690E93"/>
    <w:rsid w:val="00691971"/>
    <w:rsid w:val="00691B61"/>
    <w:rsid w:val="00691FFD"/>
    <w:rsid w:val="006923B5"/>
    <w:rsid w:val="006926F6"/>
    <w:rsid w:val="006928B9"/>
    <w:rsid w:val="00693553"/>
    <w:rsid w:val="00693978"/>
    <w:rsid w:val="006939F1"/>
    <w:rsid w:val="00693A85"/>
    <w:rsid w:val="00693BFF"/>
    <w:rsid w:val="00693DE4"/>
    <w:rsid w:val="00694277"/>
    <w:rsid w:val="0069458B"/>
    <w:rsid w:val="00694720"/>
    <w:rsid w:val="00694765"/>
    <w:rsid w:val="006948A1"/>
    <w:rsid w:val="00694E74"/>
    <w:rsid w:val="0069525C"/>
    <w:rsid w:val="00695348"/>
    <w:rsid w:val="00695418"/>
    <w:rsid w:val="0069565F"/>
    <w:rsid w:val="006956A4"/>
    <w:rsid w:val="0069573A"/>
    <w:rsid w:val="006957BC"/>
    <w:rsid w:val="006960BA"/>
    <w:rsid w:val="006960C3"/>
    <w:rsid w:val="00696471"/>
    <w:rsid w:val="0069650E"/>
    <w:rsid w:val="006966E9"/>
    <w:rsid w:val="00696835"/>
    <w:rsid w:val="0069695E"/>
    <w:rsid w:val="00696A4F"/>
    <w:rsid w:val="00696AA9"/>
    <w:rsid w:val="00696FF1"/>
    <w:rsid w:val="006971AF"/>
    <w:rsid w:val="00697419"/>
    <w:rsid w:val="00697581"/>
    <w:rsid w:val="006977F9"/>
    <w:rsid w:val="00697D1F"/>
    <w:rsid w:val="006A0279"/>
    <w:rsid w:val="006A078B"/>
    <w:rsid w:val="006A0C7D"/>
    <w:rsid w:val="006A12F0"/>
    <w:rsid w:val="006A1562"/>
    <w:rsid w:val="006A15DC"/>
    <w:rsid w:val="006A1633"/>
    <w:rsid w:val="006A1900"/>
    <w:rsid w:val="006A19B7"/>
    <w:rsid w:val="006A1C35"/>
    <w:rsid w:val="006A20E0"/>
    <w:rsid w:val="006A249E"/>
    <w:rsid w:val="006A25BA"/>
    <w:rsid w:val="006A28B2"/>
    <w:rsid w:val="006A2C40"/>
    <w:rsid w:val="006A2CEB"/>
    <w:rsid w:val="006A3237"/>
    <w:rsid w:val="006A3657"/>
    <w:rsid w:val="006A37A1"/>
    <w:rsid w:val="006A3872"/>
    <w:rsid w:val="006A3BA3"/>
    <w:rsid w:val="006A3C37"/>
    <w:rsid w:val="006A45E5"/>
    <w:rsid w:val="006A483E"/>
    <w:rsid w:val="006A4B95"/>
    <w:rsid w:val="006A50DE"/>
    <w:rsid w:val="006A5696"/>
    <w:rsid w:val="006A5A27"/>
    <w:rsid w:val="006A5BFE"/>
    <w:rsid w:val="006A61F1"/>
    <w:rsid w:val="006A632C"/>
    <w:rsid w:val="006A7458"/>
    <w:rsid w:val="006A751F"/>
    <w:rsid w:val="006A7900"/>
    <w:rsid w:val="006A794A"/>
    <w:rsid w:val="006A7B1B"/>
    <w:rsid w:val="006A7CC1"/>
    <w:rsid w:val="006B01AC"/>
    <w:rsid w:val="006B07EF"/>
    <w:rsid w:val="006B0979"/>
    <w:rsid w:val="006B09D7"/>
    <w:rsid w:val="006B0B63"/>
    <w:rsid w:val="006B0EF5"/>
    <w:rsid w:val="006B1048"/>
    <w:rsid w:val="006B1050"/>
    <w:rsid w:val="006B1272"/>
    <w:rsid w:val="006B1408"/>
    <w:rsid w:val="006B1910"/>
    <w:rsid w:val="006B278F"/>
    <w:rsid w:val="006B29A9"/>
    <w:rsid w:val="006B2CF5"/>
    <w:rsid w:val="006B2E23"/>
    <w:rsid w:val="006B2EC2"/>
    <w:rsid w:val="006B38BF"/>
    <w:rsid w:val="006B3A97"/>
    <w:rsid w:val="006B40CB"/>
    <w:rsid w:val="006B442C"/>
    <w:rsid w:val="006B4538"/>
    <w:rsid w:val="006B49E8"/>
    <w:rsid w:val="006B4B82"/>
    <w:rsid w:val="006B5E2C"/>
    <w:rsid w:val="006B5E3C"/>
    <w:rsid w:val="006B62F2"/>
    <w:rsid w:val="006B6668"/>
    <w:rsid w:val="006B67E8"/>
    <w:rsid w:val="006B6A0C"/>
    <w:rsid w:val="006B6D3A"/>
    <w:rsid w:val="006B732A"/>
    <w:rsid w:val="006B7BE6"/>
    <w:rsid w:val="006B7E32"/>
    <w:rsid w:val="006C02CC"/>
    <w:rsid w:val="006C0305"/>
    <w:rsid w:val="006C0337"/>
    <w:rsid w:val="006C0BB8"/>
    <w:rsid w:val="006C134A"/>
    <w:rsid w:val="006C152F"/>
    <w:rsid w:val="006C19EC"/>
    <w:rsid w:val="006C1D7B"/>
    <w:rsid w:val="006C1DDA"/>
    <w:rsid w:val="006C2B45"/>
    <w:rsid w:val="006C2B6A"/>
    <w:rsid w:val="006C3239"/>
    <w:rsid w:val="006C331F"/>
    <w:rsid w:val="006C333E"/>
    <w:rsid w:val="006C33B2"/>
    <w:rsid w:val="006C43FD"/>
    <w:rsid w:val="006C474A"/>
    <w:rsid w:val="006C4783"/>
    <w:rsid w:val="006C5763"/>
    <w:rsid w:val="006C5E2A"/>
    <w:rsid w:val="006C5F02"/>
    <w:rsid w:val="006C64C7"/>
    <w:rsid w:val="006C6531"/>
    <w:rsid w:val="006C6686"/>
    <w:rsid w:val="006C6B59"/>
    <w:rsid w:val="006C6F48"/>
    <w:rsid w:val="006C70CD"/>
    <w:rsid w:val="006C75DE"/>
    <w:rsid w:val="006C7F4F"/>
    <w:rsid w:val="006D0259"/>
    <w:rsid w:val="006D0E35"/>
    <w:rsid w:val="006D15C3"/>
    <w:rsid w:val="006D1719"/>
    <w:rsid w:val="006D1B55"/>
    <w:rsid w:val="006D1D44"/>
    <w:rsid w:val="006D1FDF"/>
    <w:rsid w:val="006D22E4"/>
    <w:rsid w:val="006D359C"/>
    <w:rsid w:val="006D362B"/>
    <w:rsid w:val="006D3817"/>
    <w:rsid w:val="006D399E"/>
    <w:rsid w:val="006D3E17"/>
    <w:rsid w:val="006D455E"/>
    <w:rsid w:val="006D4889"/>
    <w:rsid w:val="006D4CC8"/>
    <w:rsid w:val="006D4CF3"/>
    <w:rsid w:val="006D4D58"/>
    <w:rsid w:val="006D5334"/>
    <w:rsid w:val="006D5588"/>
    <w:rsid w:val="006D57A9"/>
    <w:rsid w:val="006D5A87"/>
    <w:rsid w:val="006D5BFA"/>
    <w:rsid w:val="006D621A"/>
    <w:rsid w:val="006D66BD"/>
    <w:rsid w:val="006D66CE"/>
    <w:rsid w:val="006D68F4"/>
    <w:rsid w:val="006D75DD"/>
    <w:rsid w:val="006D76A9"/>
    <w:rsid w:val="006D7B59"/>
    <w:rsid w:val="006E0658"/>
    <w:rsid w:val="006E0E23"/>
    <w:rsid w:val="006E1162"/>
    <w:rsid w:val="006E12BD"/>
    <w:rsid w:val="006E13D1"/>
    <w:rsid w:val="006E14D2"/>
    <w:rsid w:val="006E14FA"/>
    <w:rsid w:val="006E1688"/>
    <w:rsid w:val="006E1799"/>
    <w:rsid w:val="006E27A2"/>
    <w:rsid w:val="006E3DF9"/>
    <w:rsid w:val="006E4529"/>
    <w:rsid w:val="006E4660"/>
    <w:rsid w:val="006E4900"/>
    <w:rsid w:val="006E4DA3"/>
    <w:rsid w:val="006E531F"/>
    <w:rsid w:val="006E5473"/>
    <w:rsid w:val="006E5485"/>
    <w:rsid w:val="006E55E3"/>
    <w:rsid w:val="006E56B4"/>
    <w:rsid w:val="006E57DA"/>
    <w:rsid w:val="006E601B"/>
    <w:rsid w:val="006E65A2"/>
    <w:rsid w:val="006E6FBE"/>
    <w:rsid w:val="006E72E3"/>
    <w:rsid w:val="006E74A5"/>
    <w:rsid w:val="006E794B"/>
    <w:rsid w:val="006F0358"/>
    <w:rsid w:val="006F0745"/>
    <w:rsid w:val="006F076A"/>
    <w:rsid w:val="006F0C07"/>
    <w:rsid w:val="006F0EB7"/>
    <w:rsid w:val="006F1C32"/>
    <w:rsid w:val="006F1F2B"/>
    <w:rsid w:val="006F20A8"/>
    <w:rsid w:val="006F227E"/>
    <w:rsid w:val="006F2A00"/>
    <w:rsid w:val="006F2E54"/>
    <w:rsid w:val="006F2FF0"/>
    <w:rsid w:val="006F36CB"/>
    <w:rsid w:val="006F3DF9"/>
    <w:rsid w:val="006F4B3E"/>
    <w:rsid w:val="006F4C03"/>
    <w:rsid w:val="006F506E"/>
    <w:rsid w:val="006F533E"/>
    <w:rsid w:val="006F56A0"/>
    <w:rsid w:val="006F5D36"/>
    <w:rsid w:val="006F5F8A"/>
    <w:rsid w:val="006F6608"/>
    <w:rsid w:val="007007B1"/>
    <w:rsid w:val="007007BC"/>
    <w:rsid w:val="007007F6"/>
    <w:rsid w:val="00700816"/>
    <w:rsid w:val="00700D92"/>
    <w:rsid w:val="00700FD7"/>
    <w:rsid w:val="00701520"/>
    <w:rsid w:val="007017C0"/>
    <w:rsid w:val="00701BC6"/>
    <w:rsid w:val="00701D47"/>
    <w:rsid w:val="007022DB"/>
    <w:rsid w:val="00702544"/>
    <w:rsid w:val="007025EB"/>
    <w:rsid w:val="007029B9"/>
    <w:rsid w:val="00702AE4"/>
    <w:rsid w:val="00702F51"/>
    <w:rsid w:val="00703591"/>
    <w:rsid w:val="007038A1"/>
    <w:rsid w:val="00703965"/>
    <w:rsid w:val="00703CAD"/>
    <w:rsid w:val="00703EEE"/>
    <w:rsid w:val="00703F5B"/>
    <w:rsid w:val="007048E7"/>
    <w:rsid w:val="00704902"/>
    <w:rsid w:val="0070506F"/>
    <w:rsid w:val="00705625"/>
    <w:rsid w:val="0070569F"/>
    <w:rsid w:val="00705833"/>
    <w:rsid w:val="00706166"/>
    <w:rsid w:val="0070630B"/>
    <w:rsid w:val="0070681F"/>
    <w:rsid w:val="00706DD1"/>
    <w:rsid w:val="00706DE5"/>
    <w:rsid w:val="00706E4E"/>
    <w:rsid w:val="007072F4"/>
    <w:rsid w:val="00707426"/>
    <w:rsid w:val="007074CC"/>
    <w:rsid w:val="00707E52"/>
    <w:rsid w:val="007108FF"/>
    <w:rsid w:val="0071097C"/>
    <w:rsid w:val="007109AD"/>
    <w:rsid w:val="0071121D"/>
    <w:rsid w:val="00711237"/>
    <w:rsid w:val="007112F1"/>
    <w:rsid w:val="007114ED"/>
    <w:rsid w:val="007114EE"/>
    <w:rsid w:val="00711771"/>
    <w:rsid w:val="00711B4C"/>
    <w:rsid w:val="00711C60"/>
    <w:rsid w:val="0071257C"/>
    <w:rsid w:val="00712B06"/>
    <w:rsid w:val="00713106"/>
    <w:rsid w:val="007135C2"/>
    <w:rsid w:val="00713A1C"/>
    <w:rsid w:val="00713D17"/>
    <w:rsid w:val="007140DF"/>
    <w:rsid w:val="007149B4"/>
    <w:rsid w:val="007153DF"/>
    <w:rsid w:val="0071557F"/>
    <w:rsid w:val="00715E15"/>
    <w:rsid w:val="00715E8E"/>
    <w:rsid w:val="007160E3"/>
    <w:rsid w:val="007164BF"/>
    <w:rsid w:val="00716686"/>
    <w:rsid w:val="00716AB8"/>
    <w:rsid w:val="00716D29"/>
    <w:rsid w:val="00717258"/>
    <w:rsid w:val="00717383"/>
    <w:rsid w:val="007175C5"/>
    <w:rsid w:val="00717E0B"/>
    <w:rsid w:val="00720A71"/>
    <w:rsid w:val="00720D34"/>
    <w:rsid w:val="00722035"/>
    <w:rsid w:val="0072237F"/>
    <w:rsid w:val="0072277E"/>
    <w:rsid w:val="00722945"/>
    <w:rsid w:val="00722B8E"/>
    <w:rsid w:val="00722D0F"/>
    <w:rsid w:val="00722DA9"/>
    <w:rsid w:val="00722FB2"/>
    <w:rsid w:val="0072333B"/>
    <w:rsid w:val="00723A0F"/>
    <w:rsid w:val="00723F52"/>
    <w:rsid w:val="007240B9"/>
    <w:rsid w:val="0072442A"/>
    <w:rsid w:val="00724B2D"/>
    <w:rsid w:val="00724C4A"/>
    <w:rsid w:val="0072554F"/>
    <w:rsid w:val="00725989"/>
    <w:rsid w:val="00725CD2"/>
    <w:rsid w:val="00725E65"/>
    <w:rsid w:val="0072724D"/>
    <w:rsid w:val="007272B3"/>
    <w:rsid w:val="00727365"/>
    <w:rsid w:val="00727C28"/>
    <w:rsid w:val="00727CD7"/>
    <w:rsid w:val="0073038D"/>
    <w:rsid w:val="007308FE"/>
    <w:rsid w:val="00730F06"/>
    <w:rsid w:val="007312E5"/>
    <w:rsid w:val="00731CC5"/>
    <w:rsid w:val="00731D83"/>
    <w:rsid w:val="00732046"/>
    <w:rsid w:val="007322AD"/>
    <w:rsid w:val="00733231"/>
    <w:rsid w:val="007335DB"/>
    <w:rsid w:val="00733615"/>
    <w:rsid w:val="00733769"/>
    <w:rsid w:val="00733EB9"/>
    <w:rsid w:val="00733F9D"/>
    <w:rsid w:val="007341ED"/>
    <w:rsid w:val="007342A7"/>
    <w:rsid w:val="0073479E"/>
    <w:rsid w:val="00734933"/>
    <w:rsid w:val="00734959"/>
    <w:rsid w:val="00734B34"/>
    <w:rsid w:val="00735283"/>
    <w:rsid w:val="00735D5C"/>
    <w:rsid w:val="0073691B"/>
    <w:rsid w:val="00736A67"/>
    <w:rsid w:val="00736C63"/>
    <w:rsid w:val="00736C7E"/>
    <w:rsid w:val="0073720B"/>
    <w:rsid w:val="0073731F"/>
    <w:rsid w:val="007373A3"/>
    <w:rsid w:val="00737904"/>
    <w:rsid w:val="007402D3"/>
    <w:rsid w:val="0074058A"/>
    <w:rsid w:val="007405F1"/>
    <w:rsid w:val="00740629"/>
    <w:rsid w:val="00740A53"/>
    <w:rsid w:val="00740DDB"/>
    <w:rsid w:val="007412F4"/>
    <w:rsid w:val="00741373"/>
    <w:rsid w:val="00741408"/>
    <w:rsid w:val="00741427"/>
    <w:rsid w:val="007416F0"/>
    <w:rsid w:val="00741730"/>
    <w:rsid w:val="00741833"/>
    <w:rsid w:val="0074183E"/>
    <w:rsid w:val="00741D27"/>
    <w:rsid w:val="007423B5"/>
    <w:rsid w:val="007425C3"/>
    <w:rsid w:val="00742628"/>
    <w:rsid w:val="007426A0"/>
    <w:rsid w:val="00742B1C"/>
    <w:rsid w:val="00743039"/>
    <w:rsid w:val="007438B0"/>
    <w:rsid w:val="00743AF5"/>
    <w:rsid w:val="00743D03"/>
    <w:rsid w:val="007441B2"/>
    <w:rsid w:val="007444F8"/>
    <w:rsid w:val="0074498D"/>
    <w:rsid w:val="00744CE4"/>
    <w:rsid w:val="00744D80"/>
    <w:rsid w:val="00745C2A"/>
    <w:rsid w:val="00746145"/>
    <w:rsid w:val="007461CB"/>
    <w:rsid w:val="00746ACB"/>
    <w:rsid w:val="00746CE9"/>
    <w:rsid w:val="00747159"/>
    <w:rsid w:val="00747721"/>
    <w:rsid w:val="0074779D"/>
    <w:rsid w:val="00747BDA"/>
    <w:rsid w:val="00750424"/>
    <w:rsid w:val="007504D7"/>
    <w:rsid w:val="00750D9F"/>
    <w:rsid w:val="00751290"/>
    <w:rsid w:val="007515B3"/>
    <w:rsid w:val="00751E70"/>
    <w:rsid w:val="00752078"/>
    <w:rsid w:val="00752697"/>
    <w:rsid w:val="0075292F"/>
    <w:rsid w:val="00752BE9"/>
    <w:rsid w:val="00752BF7"/>
    <w:rsid w:val="00753421"/>
    <w:rsid w:val="007535B2"/>
    <w:rsid w:val="0075365F"/>
    <w:rsid w:val="00753779"/>
    <w:rsid w:val="00753D08"/>
    <w:rsid w:val="0075478A"/>
    <w:rsid w:val="00754AAC"/>
    <w:rsid w:val="00754B6A"/>
    <w:rsid w:val="00755120"/>
    <w:rsid w:val="007556D5"/>
    <w:rsid w:val="0075575B"/>
    <w:rsid w:val="007559DD"/>
    <w:rsid w:val="00755D15"/>
    <w:rsid w:val="00755D39"/>
    <w:rsid w:val="00755FDA"/>
    <w:rsid w:val="00755FFB"/>
    <w:rsid w:val="0075635C"/>
    <w:rsid w:val="00756D0D"/>
    <w:rsid w:val="00757303"/>
    <w:rsid w:val="007574B8"/>
    <w:rsid w:val="00757A24"/>
    <w:rsid w:val="00757D78"/>
    <w:rsid w:val="0076034F"/>
    <w:rsid w:val="0076089B"/>
    <w:rsid w:val="00760972"/>
    <w:rsid w:val="00760A38"/>
    <w:rsid w:val="00760AE3"/>
    <w:rsid w:val="0076124A"/>
    <w:rsid w:val="00761969"/>
    <w:rsid w:val="00762132"/>
    <w:rsid w:val="00762143"/>
    <w:rsid w:val="00762336"/>
    <w:rsid w:val="007625B1"/>
    <w:rsid w:val="007625E8"/>
    <w:rsid w:val="007628EA"/>
    <w:rsid w:val="0076293F"/>
    <w:rsid w:val="00762A15"/>
    <w:rsid w:val="00762C70"/>
    <w:rsid w:val="007630D0"/>
    <w:rsid w:val="007633DB"/>
    <w:rsid w:val="00763844"/>
    <w:rsid w:val="00763BAF"/>
    <w:rsid w:val="00763EBB"/>
    <w:rsid w:val="00763EDD"/>
    <w:rsid w:val="0076434F"/>
    <w:rsid w:val="00764726"/>
    <w:rsid w:val="00764940"/>
    <w:rsid w:val="00764EC6"/>
    <w:rsid w:val="00765499"/>
    <w:rsid w:val="007656CA"/>
    <w:rsid w:val="00767032"/>
    <w:rsid w:val="00767096"/>
    <w:rsid w:val="007670C4"/>
    <w:rsid w:val="007671BC"/>
    <w:rsid w:val="007676CB"/>
    <w:rsid w:val="00767791"/>
    <w:rsid w:val="00767945"/>
    <w:rsid w:val="0077091E"/>
    <w:rsid w:val="00770FB1"/>
    <w:rsid w:val="00771176"/>
    <w:rsid w:val="007712F3"/>
    <w:rsid w:val="00771504"/>
    <w:rsid w:val="00771645"/>
    <w:rsid w:val="007716ED"/>
    <w:rsid w:val="00771911"/>
    <w:rsid w:val="00771DF6"/>
    <w:rsid w:val="00771F4D"/>
    <w:rsid w:val="00772C3E"/>
    <w:rsid w:val="00772E3C"/>
    <w:rsid w:val="007731ED"/>
    <w:rsid w:val="00773361"/>
    <w:rsid w:val="00773428"/>
    <w:rsid w:val="0077389C"/>
    <w:rsid w:val="00773E4A"/>
    <w:rsid w:val="00773FA2"/>
    <w:rsid w:val="00774257"/>
    <w:rsid w:val="00774317"/>
    <w:rsid w:val="0077437B"/>
    <w:rsid w:val="007743BE"/>
    <w:rsid w:val="00774AE5"/>
    <w:rsid w:val="00774E91"/>
    <w:rsid w:val="0077560F"/>
    <w:rsid w:val="0077628E"/>
    <w:rsid w:val="007763E3"/>
    <w:rsid w:val="0077640E"/>
    <w:rsid w:val="0077650A"/>
    <w:rsid w:val="00776AA0"/>
    <w:rsid w:val="007778DA"/>
    <w:rsid w:val="00780C7D"/>
    <w:rsid w:val="0078100B"/>
    <w:rsid w:val="007817C2"/>
    <w:rsid w:val="00781B8F"/>
    <w:rsid w:val="00782317"/>
    <w:rsid w:val="007835E5"/>
    <w:rsid w:val="0078414E"/>
    <w:rsid w:val="00784343"/>
    <w:rsid w:val="0078453A"/>
    <w:rsid w:val="00784897"/>
    <w:rsid w:val="00784FBF"/>
    <w:rsid w:val="0078512B"/>
    <w:rsid w:val="00785A4A"/>
    <w:rsid w:val="00785BCC"/>
    <w:rsid w:val="00785C27"/>
    <w:rsid w:val="00785D83"/>
    <w:rsid w:val="00786109"/>
    <w:rsid w:val="00786F60"/>
    <w:rsid w:val="007878A6"/>
    <w:rsid w:val="007879A0"/>
    <w:rsid w:val="00787EAC"/>
    <w:rsid w:val="007900F2"/>
    <w:rsid w:val="007901CC"/>
    <w:rsid w:val="00790538"/>
    <w:rsid w:val="00790752"/>
    <w:rsid w:val="00790FE0"/>
    <w:rsid w:val="00790FFC"/>
    <w:rsid w:val="007912AD"/>
    <w:rsid w:val="00791B06"/>
    <w:rsid w:val="00792844"/>
    <w:rsid w:val="007928A3"/>
    <w:rsid w:val="00793048"/>
    <w:rsid w:val="00793664"/>
    <w:rsid w:val="00793825"/>
    <w:rsid w:val="00793941"/>
    <w:rsid w:val="00793CF0"/>
    <w:rsid w:val="0079502E"/>
    <w:rsid w:val="00795107"/>
    <w:rsid w:val="00795137"/>
    <w:rsid w:val="00795381"/>
    <w:rsid w:val="0079554E"/>
    <w:rsid w:val="00795DE8"/>
    <w:rsid w:val="00796213"/>
    <w:rsid w:val="007963D3"/>
    <w:rsid w:val="00796CF0"/>
    <w:rsid w:val="00797439"/>
    <w:rsid w:val="007978FF"/>
    <w:rsid w:val="007A0E03"/>
    <w:rsid w:val="007A0E25"/>
    <w:rsid w:val="007A0E4B"/>
    <w:rsid w:val="007A12F0"/>
    <w:rsid w:val="007A12FD"/>
    <w:rsid w:val="007A1325"/>
    <w:rsid w:val="007A139D"/>
    <w:rsid w:val="007A14AB"/>
    <w:rsid w:val="007A161C"/>
    <w:rsid w:val="007A1C0E"/>
    <w:rsid w:val="007A1C94"/>
    <w:rsid w:val="007A2478"/>
    <w:rsid w:val="007A28D6"/>
    <w:rsid w:val="007A299A"/>
    <w:rsid w:val="007A3CD8"/>
    <w:rsid w:val="007A3D3A"/>
    <w:rsid w:val="007A3EA3"/>
    <w:rsid w:val="007A44DD"/>
    <w:rsid w:val="007A4600"/>
    <w:rsid w:val="007A4797"/>
    <w:rsid w:val="007A48C2"/>
    <w:rsid w:val="007A499C"/>
    <w:rsid w:val="007A4B9D"/>
    <w:rsid w:val="007A4BC7"/>
    <w:rsid w:val="007A4FF6"/>
    <w:rsid w:val="007A5255"/>
    <w:rsid w:val="007A594B"/>
    <w:rsid w:val="007A603A"/>
    <w:rsid w:val="007A6C6B"/>
    <w:rsid w:val="007A701F"/>
    <w:rsid w:val="007A7225"/>
    <w:rsid w:val="007A7F4B"/>
    <w:rsid w:val="007B03BA"/>
    <w:rsid w:val="007B0784"/>
    <w:rsid w:val="007B09A0"/>
    <w:rsid w:val="007B0C14"/>
    <w:rsid w:val="007B1849"/>
    <w:rsid w:val="007B18E3"/>
    <w:rsid w:val="007B211E"/>
    <w:rsid w:val="007B2457"/>
    <w:rsid w:val="007B2C12"/>
    <w:rsid w:val="007B31CD"/>
    <w:rsid w:val="007B35D7"/>
    <w:rsid w:val="007B41FD"/>
    <w:rsid w:val="007B4660"/>
    <w:rsid w:val="007B483E"/>
    <w:rsid w:val="007B4974"/>
    <w:rsid w:val="007B4CEF"/>
    <w:rsid w:val="007B4EA5"/>
    <w:rsid w:val="007B4FFD"/>
    <w:rsid w:val="007B50EF"/>
    <w:rsid w:val="007B51AB"/>
    <w:rsid w:val="007B56BF"/>
    <w:rsid w:val="007B5C66"/>
    <w:rsid w:val="007B623B"/>
    <w:rsid w:val="007B6819"/>
    <w:rsid w:val="007B6A95"/>
    <w:rsid w:val="007B7135"/>
    <w:rsid w:val="007B7549"/>
    <w:rsid w:val="007B75D0"/>
    <w:rsid w:val="007B7893"/>
    <w:rsid w:val="007B79EF"/>
    <w:rsid w:val="007B7F5A"/>
    <w:rsid w:val="007C0071"/>
    <w:rsid w:val="007C04AA"/>
    <w:rsid w:val="007C05BC"/>
    <w:rsid w:val="007C05C6"/>
    <w:rsid w:val="007C0BEA"/>
    <w:rsid w:val="007C0DB7"/>
    <w:rsid w:val="007C0EAD"/>
    <w:rsid w:val="007C0EE1"/>
    <w:rsid w:val="007C0F09"/>
    <w:rsid w:val="007C1642"/>
    <w:rsid w:val="007C298C"/>
    <w:rsid w:val="007C2F62"/>
    <w:rsid w:val="007C2FD8"/>
    <w:rsid w:val="007C31AC"/>
    <w:rsid w:val="007C3213"/>
    <w:rsid w:val="007C3463"/>
    <w:rsid w:val="007C34AB"/>
    <w:rsid w:val="007C3970"/>
    <w:rsid w:val="007C4158"/>
    <w:rsid w:val="007C430A"/>
    <w:rsid w:val="007C43C6"/>
    <w:rsid w:val="007C472E"/>
    <w:rsid w:val="007C4F68"/>
    <w:rsid w:val="007C4F86"/>
    <w:rsid w:val="007C5B48"/>
    <w:rsid w:val="007C6138"/>
    <w:rsid w:val="007C6199"/>
    <w:rsid w:val="007C61C1"/>
    <w:rsid w:val="007C6A34"/>
    <w:rsid w:val="007C6A91"/>
    <w:rsid w:val="007C6C49"/>
    <w:rsid w:val="007C7306"/>
    <w:rsid w:val="007C794F"/>
    <w:rsid w:val="007C7A63"/>
    <w:rsid w:val="007D00D0"/>
    <w:rsid w:val="007D01A1"/>
    <w:rsid w:val="007D098D"/>
    <w:rsid w:val="007D0E76"/>
    <w:rsid w:val="007D0F91"/>
    <w:rsid w:val="007D0FB9"/>
    <w:rsid w:val="007D0FEA"/>
    <w:rsid w:val="007D1728"/>
    <w:rsid w:val="007D17AD"/>
    <w:rsid w:val="007D1A2B"/>
    <w:rsid w:val="007D1F3D"/>
    <w:rsid w:val="007D2738"/>
    <w:rsid w:val="007D27AB"/>
    <w:rsid w:val="007D2A09"/>
    <w:rsid w:val="007D2CEC"/>
    <w:rsid w:val="007D35EA"/>
    <w:rsid w:val="007D3946"/>
    <w:rsid w:val="007D3E5F"/>
    <w:rsid w:val="007D428C"/>
    <w:rsid w:val="007D4B48"/>
    <w:rsid w:val="007D4F5B"/>
    <w:rsid w:val="007D52B7"/>
    <w:rsid w:val="007D54D3"/>
    <w:rsid w:val="007D55BC"/>
    <w:rsid w:val="007D563A"/>
    <w:rsid w:val="007D573A"/>
    <w:rsid w:val="007D5D1B"/>
    <w:rsid w:val="007D5F71"/>
    <w:rsid w:val="007D622F"/>
    <w:rsid w:val="007D6649"/>
    <w:rsid w:val="007D6A0F"/>
    <w:rsid w:val="007D7029"/>
    <w:rsid w:val="007D7604"/>
    <w:rsid w:val="007D7807"/>
    <w:rsid w:val="007D7B83"/>
    <w:rsid w:val="007E0031"/>
    <w:rsid w:val="007E03EC"/>
    <w:rsid w:val="007E07E2"/>
    <w:rsid w:val="007E0B76"/>
    <w:rsid w:val="007E0C8B"/>
    <w:rsid w:val="007E0F34"/>
    <w:rsid w:val="007E17EA"/>
    <w:rsid w:val="007E1882"/>
    <w:rsid w:val="007E1C47"/>
    <w:rsid w:val="007E1E73"/>
    <w:rsid w:val="007E241F"/>
    <w:rsid w:val="007E2876"/>
    <w:rsid w:val="007E3188"/>
    <w:rsid w:val="007E3501"/>
    <w:rsid w:val="007E3682"/>
    <w:rsid w:val="007E3743"/>
    <w:rsid w:val="007E39A8"/>
    <w:rsid w:val="007E3D05"/>
    <w:rsid w:val="007E3D11"/>
    <w:rsid w:val="007E4374"/>
    <w:rsid w:val="007E4796"/>
    <w:rsid w:val="007E47A0"/>
    <w:rsid w:val="007E4A2F"/>
    <w:rsid w:val="007E4E28"/>
    <w:rsid w:val="007E4EA1"/>
    <w:rsid w:val="007E514B"/>
    <w:rsid w:val="007E5492"/>
    <w:rsid w:val="007E55A3"/>
    <w:rsid w:val="007E5D9E"/>
    <w:rsid w:val="007E5DCE"/>
    <w:rsid w:val="007E5F51"/>
    <w:rsid w:val="007E62C9"/>
    <w:rsid w:val="007E6477"/>
    <w:rsid w:val="007E65B4"/>
    <w:rsid w:val="007E66F8"/>
    <w:rsid w:val="007E79B3"/>
    <w:rsid w:val="007E7CC6"/>
    <w:rsid w:val="007E7EE7"/>
    <w:rsid w:val="007E7FC7"/>
    <w:rsid w:val="007F01B1"/>
    <w:rsid w:val="007F109C"/>
    <w:rsid w:val="007F1352"/>
    <w:rsid w:val="007F1A04"/>
    <w:rsid w:val="007F2156"/>
    <w:rsid w:val="007F2353"/>
    <w:rsid w:val="007F24AE"/>
    <w:rsid w:val="007F24DF"/>
    <w:rsid w:val="007F27AE"/>
    <w:rsid w:val="007F2AA5"/>
    <w:rsid w:val="007F2AC1"/>
    <w:rsid w:val="007F2B4A"/>
    <w:rsid w:val="007F3ED4"/>
    <w:rsid w:val="007F4193"/>
    <w:rsid w:val="007F4811"/>
    <w:rsid w:val="007F5485"/>
    <w:rsid w:val="007F5900"/>
    <w:rsid w:val="007F5A52"/>
    <w:rsid w:val="007F5AB4"/>
    <w:rsid w:val="007F5B92"/>
    <w:rsid w:val="007F5DA1"/>
    <w:rsid w:val="007F5EC6"/>
    <w:rsid w:val="007F6458"/>
    <w:rsid w:val="007F6FB8"/>
    <w:rsid w:val="007F70DA"/>
    <w:rsid w:val="007F7D69"/>
    <w:rsid w:val="008004E9"/>
    <w:rsid w:val="00800BB7"/>
    <w:rsid w:val="00800E19"/>
    <w:rsid w:val="00801C9A"/>
    <w:rsid w:val="00801C9C"/>
    <w:rsid w:val="00801EFF"/>
    <w:rsid w:val="00801FE0"/>
    <w:rsid w:val="00802087"/>
    <w:rsid w:val="00802323"/>
    <w:rsid w:val="008024D5"/>
    <w:rsid w:val="00802FD7"/>
    <w:rsid w:val="008032A2"/>
    <w:rsid w:val="0080347E"/>
    <w:rsid w:val="00803970"/>
    <w:rsid w:val="00803BB0"/>
    <w:rsid w:val="008040B5"/>
    <w:rsid w:val="00804457"/>
    <w:rsid w:val="00804A9D"/>
    <w:rsid w:val="00804CF6"/>
    <w:rsid w:val="00805463"/>
    <w:rsid w:val="00805753"/>
    <w:rsid w:val="008057A7"/>
    <w:rsid w:val="00805B1A"/>
    <w:rsid w:val="00805BA4"/>
    <w:rsid w:val="008060E6"/>
    <w:rsid w:val="008066BE"/>
    <w:rsid w:val="008068D4"/>
    <w:rsid w:val="00806A81"/>
    <w:rsid w:val="008075B3"/>
    <w:rsid w:val="008076BB"/>
    <w:rsid w:val="00807E00"/>
    <w:rsid w:val="00807F46"/>
    <w:rsid w:val="00807FC5"/>
    <w:rsid w:val="00810BDA"/>
    <w:rsid w:val="008112D6"/>
    <w:rsid w:val="008116F6"/>
    <w:rsid w:val="00811DB4"/>
    <w:rsid w:val="00812494"/>
    <w:rsid w:val="0081289E"/>
    <w:rsid w:val="00812AAE"/>
    <w:rsid w:val="00812B4B"/>
    <w:rsid w:val="008130BA"/>
    <w:rsid w:val="008130BD"/>
    <w:rsid w:val="008130E0"/>
    <w:rsid w:val="00813174"/>
    <w:rsid w:val="00813216"/>
    <w:rsid w:val="00814314"/>
    <w:rsid w:val="00814EA1"/>
    <w:rsid w:val="0081505F"/>
    <w:rsid w:val="00815540"/>
    <w:rsid w:val="00815831"/>
    <w:rsid w:val="008158A7"/>
    <w:rsid w:val="00815F54"/>
    <w:rsid w:val="00815F63"/>
    <w:rsid w:val="00816066"/>
    <w:rsid w:val="008161B0"/>
    <w:rsid w:val="00816312"/>
    <w:rsid w:val="008164C3"/>
    <w:rsid w:val="00816509"/>
    <w:rsid w:val="0081657C"/>
    <w:rsid w:val="00816C1F"/>
    <w:rsid w:val="00816F04"/>
    <w:rsid w:val="00817088"/>
    <w:rsid w:val="00817A95"/>
    <w:rsid w:val="00817F02"/>
    <w:rsid w:val="00817F3B"/>
    <w:rsid w:val="00820462"/>
    <w:rsid w:val="00820479"/>
    <w:rsid w:val="0082065B"/>
    <w:rsid w:val="0082068B"/>
    <w:rsid w:val="008208D0"/>
    <w:rsid w:val="00820F61"/>
    <w:rsid w:val="0082102E"/>
    <w:rsid w:val="008214AF"/>
    <w:rsid w:val="00822EC5"/>
    <w:rsid w:val="008232E0"/>
    <w:rsid w:val="008234D4"/>
    <w:rsid w:val="00823933"/>
    <w:rsid w:val="008239D0"/>
    <w:rsid w:val="00823D03"/>
    <w:rsid w:val="00823FD5"/>
    <w:rsid w:val="008242F4"/>
    <w:rsid w:val="0082430B"/>
    <w:rsid w:val="00824367"/>
    <w:rsid w:val="008248FF"/>
    <w:rsid w:val="00824ACC"/>
    <w:rsid w:val="00824E23"/>
    <w:rsid w:val="00824E41"/>
    <w:rsid w:val="00825177"/>
    <w:rsid w:val="008254F6"/>
    <w:rsid w:val="0082563E"/>
    <w:rsid w:val="00825CFC"/>
    <w:rsid w:val="00825F9B"/>
    <w:rsid w:val="00825FED"/>
    <w:rsid w:val="00826071"/>
    <w:rsid w:val="008261CE"/>
    <w:rsid w:val="008266A7"/>
    <w:rsid w:val="0082677F"/>
    <w:rsid w:val="00826842"/>
    <w:rsid w:val="008272C7"/>
    <w:rsid w:val="0082750F"/>
    <w:rsid w:val="00827F8B"/>
    <w:rsid w:val="00830129"/>
    <w:rsid w:val="00830251"/>
    <w:rsid w:val="00830972"/>
    <w:rsid w:val="00830E70"/>
    <w:rsid w:val="00831004"/>
    <w:rsid w:val="0083129F"/>
    <w:rsid w:val="00831ABF"/>
    <w:rsid w:val="00831CCD"/>
    <w:rsid w:val="00831F3A"/>
    <w:rsid w:val="008321FC"/>
    <w:rsid w:val="00832517"/>
    <w:rsid w:val="00832D86"/>
    <w:rsid w:val="00833C1E"/>
    <w:rsid w:val="00833E62"/>
    <w:rsid w:val="00833F7E"/>
    <w:rsid w:val="008348FC"/>
    <w:rsid w:val="00834BFA"/>
    <w:rsid w:val="00834FAD"/>
    <w:rsid w:val="00835272"/>
    <w:rsid w:val="00835477"/>
    <w:rsid w:val="00835C4C"/>
    <w:rsid w:val="00835DC7"/>
    <w:rsid w:val="008363AB"/>
    <w:rsid w:val="00836680"/>
    <w:rsid w:val="00836991"/>
    <w:rsid w:val="00836EE1"/>
    <w:rsid w:val="00837193"/>
    <w:rsid w:val="0083729B"/>
    <w:rsid w:val="00837A11"/>
    <w:rsid w:val="00840004"/>
    <w:rsid w:val="00840248"/>
    <w:rsid w:val="00840323"/>
    <w:rsid w:val="008405FD"/>
    <w:rsid w:val="008407D9"/>
    <w:rsid w:val="00840E57"/>
    <w:rsid w:val="0084112A"/>
    <w:rsid w:val="008411B5"/>
    <w:rsid w:val="0084163F"/>
    <w:rsid w:val="00841AB1"/>
    <w:rsid w:val="00842833"/>
    <w:rsid w:val="0084330A"/>
    <w:rsid w:val="0084356C"/>
    <w:rsid w:val="008439A4"/>
    <w:rsid w:val="008441CC"/>
    <w:rsid w:val="00844762"/>
    <w:rsid w:val="00844C66"/>
    <w:rsid w:val="00844FB2"/>
    <w:rsid w:val="00845384"/>
    <w:rsid w:val="0084626F"/>
    <w:rsid w:val="00846DEE"/>
    <w:rsid w:val="00846F1C"/>
    <w:rsid w:val="008475A0"/>
    <w:rsid w:val="00847614"/>
    <w:rsid w:val="00847A54"/>
    <w:rsid w:val="008505B9"/>
    <w:rsid w:val="0085096E"/>
    <w:rsid w:val="008509B9"/>
    <w:rsid w:val="00850D74"/>
    <w:rsid w:val="00850FEC"/>
    <w:rsid w:val="00851423"/>
    <w:rsid w:val="008525EC"/>
    <w:rsid w:val="00852EA8"/>
    <w:rsid w:val="00853119"/>
    <w:rsid w:val="00853711"/>
    <w:rsid w:val="00853775"/>
    <w:rsid w:val="008538C6"/>
    <w:rsid w:val="008548D4"/>
    <w:rsid w:val="00854ABF"/>
    <w:rsid w:val="00854C9A"/>
    <w:rsid w:val="00854D4D"/>
    <w:rsid w:val="00855B91"/>
    <w:rsid w:val="00855C8E"/>
    <w:rsid w:val="008561FF"/>
    <w:rsid w:val="0085621D"/>
    <w:rsid w:val="00856DD9"/>
    <w:rsid w:val="00857381"/>
    <w:rsid w:val="00857623"/>
    <w:rsid w:val="00857D81"/>
    <w:rsid w:val="00857E93"/>
    <w:rsid w:val="00857FB9"/>
    <w:rsid w:val="00860392"/>
    <w:rsid w:val="008605A1"/>
    <w:rsid w:val="00860765"/>
    <w:rsid w:val="00860E7E"/>
    <w:rsid w:val="008610A2"/>
    <w:rsid w:val="00861374"/>
    <w:rsid w:val="00861509"/>
    <w:rsid w:val="008617CB"/>
    <w:rsid w:val="008619BB"/>
    <w:rsid w:val="00861C7D"/>
    <w:rsid w:val="00861D6B"/>
    <w:rsid w:val="00862864"/>
    <w:rsid w:val="00862899"/>
    <w:rsid w:val="00862C4B"/>
    <w:rsid w:val="0086325E"/>
    <w:rsid w:val="008633CE"/>
    <w:rsid w:val="00863B10"/>
    <w:rsid w:val="00863C98"/>
    <w:rsid w:val="00863F9E"/>
    <w:rsid w:val="008643B9"/>
    <w:rsid w:val="00864856"/>
    <w:rsid w:val="008653B9"/>
    <w:rsid w:val="00865616"/>
    <w:rsid w:val="008657C3"/>
    <w:rsid w:val="00865DF0"/>
    <w:rsid w:val="00865E23"/>
    <w:rsid w:val="00865E5A"/>
    <w:rsid w:val="00866196"/>
    <w:rsid w:val="008665E8"/>
    <w:rsid w:val="00866F0B"/>
    <w:rsid w:val="00867110"/>
    <w:rsid w:val="008672B4"/>
    <w:rsid w:val="00867395"/>
    <w:rsid w:val="00867A4E"/>
    <w:rsid w:val="00867CBF"/>
    <w:rsid w:val="00867D55"/>
    <w:rsid w:val="008703A3"/>
    <w:rsid w:val="008703E9"/>
    <w:rsid w:val="00870653"/>
    <w:rsid w:val="00870732"/>
    <w:rsid w:val="008707D5"/>
    <w:rsid w:val="00870A10"/>
    <w:rsid w:val="00871295"/>
    <w:rsid w:val="00871C36"/>
    <w:rsid w:val="00872113"/>
    <w:rsid w:val="00872133"/>
    <w:rsid w:val="00872EF7"/>
    <w:rsid w:val="0087307E"/>
    <w:rsid w:val="00873383"/>
    <w:rsid w:val="0087380E"/>
    <w:rsid w:val="00873B39"/>
    <w:rsid w:val="00873B68"/>
    <w:rsid w:val="00873F9F"/>
    <w:rsid w:val="00874074"/>
    <w:rsid w:val="0087439A"/>
    <w:rsid w:val="008745C3"/>
    <w:rsid w:val="00874644"/>
    <w:rsid w:val="00874AF3"/>
    <w:rsid w:val="00874D5C"/>
    <w:rsid w:val="00874DC5"/>
    <w:rsid w:val="00875CCC"/>
    <w:rsid w:val="00875D23"/>
    <w:rsid w:val="00876882"/>
    <w:rsid w:val="0087789A"/>
    <w:rsid w:val="00877964"/>
    <w:rsid w:val="008779FA"/>
    <w:rsid w:val="00877DE3"/>
    <w:rsid w:val="0088078E"/>
    <w:rsid w:val="00880C07"/>
    <w:rsid w:val="00880E0B"/>
    <w:rsid w:val="00881090"/>
    <w:rsid w:val="00881276"/>
    <w:rsid w:val="00881447"/>
    <w:rsid w:val="00881EE2"/>
    <w:rsid w:val="008827FF"/>
    <w:rsid w:val="00882B83"/>
    <w:rsid w:val="00882BFF"/>
    <w:rsid w:val="00882CCF"/>
    <w:rsid w:val="00882EB3"/>
    <w:rsid w:val="00883ACC"/>
    <w:rsid w:val="00883E02"/>
    <w:rsid w:val="00885932"/>
    <w:rsid w:val="008859C4"/>
    <w:rsid w:val="00885E35"/>
    <w:rsid w:val="0088622E"/>
    <w:rsid w:val="008862CD"/>
    <w:rsid w:val="0088639A"/>
    <w:rsid w:val="00886857"/>
    <w:rsid w:val="008868F6"/>
    <w:rsid w:val="00886F12"/>
    <w:rsid w:val="00887481"/>
    <w:rsid w:val="00887DFD"/>
    <w:rsid w:val="008903CB"/>
    <w:rsid w:val="00890C2E"/>
    <w:rsid w:val="00891857"/>
    <w:rsid w:val="0089204E"/>
    <w:rsid w:val="00892096"/>
    <w:rsid w:val="00892125"/>
    <w:rsid w:val="0089258A"/>
    <w:rsid w:val="008926A4"/>
    <w:rsid w:val="008926EB"/>
    <w:rsid w:val="00893492"/>
    <w:rsid w:val="008935FD"/>
    <w:rsid w:val="00893950"/>
    <w:rsid w:val="00893BDA"/>
    <w:rsid w:val="00893DD8"/>
    <w:rsid w:val="00893F13"/>
    <w:rsid w:val="00894245"/>
    <w:rsid w:val="008946E2"/>
    <w:rsid w:val="00894920"/>
    <w:rsid w:val="00894A49"/>
    <w:rsid w:val="00894D33"/>
    <w:rsid w:val="00895379"/>
    <w:rsid w:val="0089544C"/>
    <w:rsid w:val="00895C2C"/>
    <w:rsid w:val="00895C53"/>
    <w:rsid w:val="0089606D"/>
    <w:rsid w:val="0089638F"/>
    <w:rsid w:val="008964F1"/>
    <w:rsid w:val="00897243"/>
    <w:rsid w:val="008977EC"/>
    <w:rsid w:val="00897D83"/>
    <w:rsid w:val="008A0790"/>
    <w:rsid w:val="008A0BEC"/>
    <w:rsid w:val="008A11B6"/>
    <w:rsid w:val="008A127F"/>
    <w:rsid w:val="008A1564"/>
    <w:rsid w:val="008A15DA"/>
    <w:rsid w:val="008A19AF"/>
    <w:rsid w:val="008A1B07"/>
    <w:rsid w:val="008A1E3E"/>
    <w:rsid w:val="008A1FBC"/>
    <w:rsid w:val="008A2369"/>
    <w:rsid w:val="008A2B71"/>
    <w:rsid w:val="008A33FD"/>
    <w:rsid w:val="008A3919"/>
    <w:rsid w:val="008A3CFB"/>
    <w:rsid w:val="008A3D79"/>
    <w:rsid w:val="008A45E7"/>
    <w:rsid w:val="008A4D93"/>
    <w:rsid w:val="008A4F8A"/>
    <w:rsid w:val="008A559E"/>
    <w:rsid w:val="008A5958"/>
    <w:rsid w:val="008A5FCF"/>
    <w:rsid w:val="008A6358"/>
    <w:rsid w:val="008A65E0"/>
    <w:rsid w:val="008A66CD"/>
    <w:rsid w:val="008A731F"/>
    <w:rsid w:val="008A7B83"/>
    <w:rsid w:val="008A7C40"/>
    <w:rsid w:val="008A7D44"/>
    <w:rsid w:val="008A7D50"/>
    <w:rsid w:val="008A7FF5"/>
    <w:rsid w:val="008B0356"/>
    <w:rsid w:val="008B0EDE"/>
    <w:rsid w:val="008B106B"/>
    <w:rsid w:val="008B11DB"/>
    <w:rsid w:val="008B1410"/>
    <w:rsid w:val="008B2F69"/>
    <w:rsid w:val="008B3242"/>
    <w:rsid w:val="008B33E4"/>
    <w:rsid w:val="008B3C11"/>
    <w:rsid w:val="008B3C25"/>
    <w:rsid w:val="008B3F44"/>
    <w:rsid w:val="008B405A"/>
    <w:rsid w:val="008B40BB"/>
    <w:rsid w:val="008B48BE"/>
    <w:rsid w:val="008B491E"/>
    <w:rsid w:val="008B4A42"/>
    <w:rsid w:val="008B5201"/>
    <w:rsid w:val="008B5261"/>
    <w:rsid w:val="008B52EA"/>
    <w:rsid w:val="008B5B6B"/>
    <w:rsid w:val="008B615C"/>
    <w:rsid w:val="008B6432"/>
    <w:rsid w:val="008B67F0"/>
    <w:rsid w:val="008B69A4"/>
    <w:rsid w:val="008B6F76"/>
    <w:rsid w:val="008B7D95"/>
    <w:rsid w:val="008C024B"/>
    <w:rsid w:val="008C0321"/>
    <w:rsid w:val="008C04F3"/>
    <w:rsid w:val="008C0A33"/>
    <w:rsid w:val="008C0B3C"/>
    <w:rsid w:val="008C0E10"/>
    <w:rsid w:val="008C0FD8"/>
    <w:rsid w:val="008C1216"/>
    <w:rsid w:val="008C1338"/>
    <w:rsid w:val="008C18A0"/>
    <w:rsid w:val="008C18DA"/>
    <w:rsid w:val="008C1CBF"/>
    <w:rsid w:val="008C1DD9"/>
    <w:rsid w:val="008C2BF8"/>
    <w:rsid w:val="008C2FB2"/>
    <w:rsid w:val="008C3163"/>
    <w:rsid w:val="008C353D"/>
    <w:rsid w:val="008C46AF"/>
    <w:rsid w:val="008C4753"/>
    <w:rsid w:val="008C47F2"/>
    <w:rsid w:val="008C48C2"/>
    <w:rsid w:val="008C4D7B"/>
    <w:rsid w:val="008C5B68"/>
    <w:rsid w:val="008C5FD7"/>
    <w:rsid w:val="008C66AE"/>
    <w:rsid w:val="008C723E"/>
    <w:rsid w:val="008C742B"/>
    <w:rsid w:val="008C753E"/>
    <w:rsid w:val="008C769F"/>
    <w:rsid w:val="008C7C86"/>
    <w:rsid w:val="008C7CBE"/>
    <w:rsid w:val="008D0300"/>
    <w:rsid w:val="008D07F8"/>
    <w:rsid w:val="008D09D4"/>
    <w:rsid w:val="008D0AEE"/>
    <w:rsid w:val="008D0BEF"/>
    <w:rsid w:val="008D0E3D"/>
    <w:rsid w:val="008D0EEE"/>
    <w:rsid w:val="008D18E2"/>
    <w:rsid w:val="008D1D88"/>
    <w:rsid w:val="008D1EEE"/>
    <w:rsid w:val="008D2633"/>
    <w:rsid w:val="008D28C2"/>
    <w:rsid w:val="008D28FF"/>
    <w:rsid w:val="008D2A42"/>
    <w:rsid w:val="008D2A7F"/>
    <w:rsid w:val="008D2C69"/>
    <w:rsid w:val="008D2CB5"/>
    <w:rsid w:val="008D2E86"/>
    <w:rsid w:val="008D3C78"/>
    <w:rsid w:val="008D3D3D"/>
    <w:rsid w:val="008D4197"/>
    <w:rsid w:val="008D443F"/>
    <w:rsid w:val="008D48FF"/>
    <w:rsid w:val="008D4D3A"/>
    <w:rsid w:val="008D5173"/>
    <w:rsid w:val="008D57E6"/>
    <w:rsid w:val="008D5A42"/>
    <w:rsid w:val="008D6350"/>
    <w:rsid w:val="008D647D"/>
    <w:rsid w:val="008D66C2"/>
    <w:rsid w:val="008D69D8"/>
    <w:rsid w:val="008D6E8A"/>
    <w:rsid w:val="008D728E"/>
    <w:rsid w:val="008D7383"/>
    <w:rsid w:val="008D750B"/>
    <w:rsid w:val="008D75D8"/>
    <w:rsid w:val="008D7A46"/>
    <w:rsid w:val="008D7A76"/>
    <w:rsid w:val="008D7B02"/>
    <w:rsid w:val="008D7B0B"/>
    <w:rsid w:val="008E03EE"/>
    <w:rsid w:val="008E07D0"/>
    <w:rsid w:val="008E090C"/>
    <w:rsid w:val="008E0BBB"/>
    <w:rsid w:val="008E1A19"/>
    <w:rsid w:val="008E2135"/>
    <w:rsid w:val="008E23C7"/>
    <w:rsid w:val="008E28E2"/>
    <w:rsid w:val="008E2920"/>
    <w:rsid w:val="008E2A57"/>
    <w:rsid w:val="008E2B0E"/>
    <w:rsid w:val="008E2CB4"/>
    <w:rsid w:val="008E30B7"/>
    <w:rsid w:val="008E34B4"/>
    <w:rsid w:val="008E37E6"/>
    <w:rsid w:val="008E3C0D"/>
    <w:rsid w:val="008E3CCC"/>
    <w:rsid w:val="008E46A2"/>
    <w:rsid w:val="008E4A01"/>
    <w:rsid w:val="008E4F96"/>
    <w:rsid w:val="008E5061"/>
    <w:rsid w:val="008E57E8"/>
    <w:rsid w:val="008E58E2"/>
    <w:rsid w:val="008E5CC5"/>
    <w:rsid w:val="008E62A5"/>
    <w:rsid w:val="008E6429"/>
    <w:rsid w:val="008E6693"/>
    <w:rsid w:val="008E675D"/>
    <w:rsid w:val="008E6D57"/>
    <w:rsid w:val="008E7447"/>
    <w:rsid w:val="008E7449"/>
    <w:rsid w:val="008E74C5"/>
    <w:rsid w:val="008E77E0"/>
    <w:rsid w:val="008F022F"/>
    <w:rsid w:val="008F03FB"/>
    <w:rsid w:val="008F0CAC"/>
    <w:rsid w:val="008F0FE8"/>
    <w:rsid w:val="008F148E"/>
    <w:rsid w:val="008F1C77"/>
    <w:rsid w:val="008F1DDD"/>
    <w:rsid w:val="008F1E30"/>
    <w:rsid w:val="008F1F42"/>
    <w:rsid w:val="008F2090"/>
    <w:rsid w:val="008F28F5"/>
    <w:rsid w:val="008F29E8"/>
    <w:rsid w:val="008F2A87"/>
    <w:rsid w:val="008F2AF4"/>
    <w:rsid w:val="008F2C1C"/>
    <w:rsid w:val="008F2C73"/>
    <w:rsid w:val="008F3341"/>
    <w:rsid w:val="008F3DD3"/>
    <w:rsid w:val="008F3F7B"/>
    <w:rsid w:val="008F3FD8"/>
    <w:rsid w:val="008F447E"/>
    <w:rsid w:val="008F4D5C"/>
    <w:rsid w:val="008F4E8B"/>
    <w:rsid w:val="008F5158"/>
    <w:rsid w:val="008F52C2"/>
    <w:rsid w:val="008F5398"/>
    <w:rsid w:val="008F57EC"/>
    <w:rsid w:val="008F5B17"/>
    <w:rsid w:val="008F5DFB"/>
    <w:rsid w:val="008F5FA3"/>
    <w:rsid w:val="008F62B5"/>
    <w:rsid w:val="008F6A82"/>
    <w:rsid w:val="008F6E96"/>
    <w:rsid w:val="008F72C7"/>
    <w:rsid w:val="008F7602"/>
    <w:rsid w:val="008F7BEA"/>
    <w:rsid w:val="008F7C11"/>
    <w:rsid w:val="008F7D8D"/>
    <w:rsid w:val="008F7E1B"/>
    <w:rsid w:val="0090032C"/>
    <w:rsid w:val="009008AD"/>
    <w:rsid w:val="0090096B"/>
    <w:rsid w:val="00901882"/>
    <w:rsid w:val="00901A96"/>
    <w:rsid w:val="00901AA3"/>
    <w:rsid w:val="00901B0D"/>
    <w:rsid w:val="00901BAA"/>
    <w:rsid w:val="00901CCC"/>
    <w:rsid w:val="00901D16"/>
    <w:rsid w:val="00902359"/>
    <w:rsid w:val="009024A6"/>
    <w:rsid w:val="009025B2"/>
    <w:rsid w:val="00902742"/>
    <w:rsid w:val="0090288A"/>
    <w:rsid w:val="00902B33"/>
    <w:rsid w:val="009033FE"/>
    <w:rsid w:val="00903DD4"/>
    <w:rsid w:val="00904049"/>
    <w:rsid w:val="0090458D"/>
    <w:rsid w:val="00904A0B"/>
    <w:rsid w:val="00904A8C"/>
    <w:rsid w:val="00904B5A"/>
    <w:rsid w:val="00904DFD"/>
    <w:rsid w:val="009051DB"/>
    <w:rsid w:val="00905247"/>
    <w:rsid w:val="00905288"/>
    <w:rsid w:val="009053F5"/>
    <w:rsid w:val="009055EA"/>
    <w:rsid w:val="00905C64"/>
    <w:rsid w:val="00905FB4"/>
    <w:rsid w:val="00906610"/>
    <w:rsid w:val="00906A4D"/>
    <w:rsid w:val="00906E2A"/>
    <w:rsid w:val="00907200"/>
    <w:rsid w:val="009073C9"/>
    <w:rsid w:val="0090748B"/>
    <w:rsid w:val="0090781D"/>
    <w:rsid w:val="009078A5"/>
    <w:rsid w:val="00907D99"/>
    <w:rsid w:val="00907E31"/>
    <w:rsid w:val="00907F54"/>
    <w:rsid w:val="00911CD7"/>
    <w:rsid w:val="00911CF0"/>
    <w:rsid w:val="00911DD9"/>
    <w:rsid w:val="00911DF5"/>
    <w:rsid w:val="00911F2F"/>
    <w:rsid w:val="0091205E"/>
    <w:rsid w:val="009122EA"/>
    <w:rsid w:val="0091260C"/>
    <w:rsid w:val="0091277E"/>
    <w:rsid w:val="00912A18"/>
    <w:rsid w:val="009135F8"/>
    <w:rsid w:val="00913FBA"/>
    <w:rsid w:val="009145C5"/>
    <w:rsid w:val="0091472E"/>
    <w:rsid w:val="00914730"/>
    <w:rsid w:val="00914895"/>
    <w:rsid w:val="00914D44"/>
    <w:rsid w:val="009152DA"/>
    <w:rsid w:val="009156D5"/>
    <w:rsid w:val="00915B26"/>
    <w:rsid w:val="00915BF0"/>
    <w:rsid w:val="00915F3D"/>
    <w:rsid w:val="00916212"/>
    <w:rsid w:val="00916218"/>
    <w:rsid w:val="0091621B"/>
    <w:rsid w:val="00916457"/>
    <w:rsid w:val="00916A00"/>
    <w:rsid w:val="00917045"/>
    <w:rsid w:val="009171D1"/>
    <w:rsid w:val="009171EE"/>
    <w:rsid w:val="00917234"/>
    <w:rsid w:val="0091735C"/>
    <w:rsid w:val="00917558"/>
    <w:rsid w:val="00920450"/>
    <w:rsid w:val="009205D3"/>
    <w:rsid w:val="009207CA"/>
    <w:rsid w:val="00920B9D"/>
    <w:rsid w:val="00921375"/>
    <w:rsid w:val="009216F4"/>
    <w:rsid w:val="0092194F"/>
    <w:rsid w:val="00921CD8"/>
    <w:rsid w:val="00921D98"/>
    <w:rsid w:val="00921DA8"/>
    <w:rsid w:val="00921EC9"/>
    <w:rsid w:val="0092226E"/>
    <w:rsid w:val="009223C2"/>
    <w:rsid w:val="009225C8"/>
    <w:rsid w:val="00922716"/>
    <w:rsid w:val="009228FC"/>
    <w:rsid w:val="00923980"/>
    <w:rsid w:val="00924359"/>
    <w:rsid w:val="00924B49"/>
    <w:rsid w:val="00924F73"/>
    <w:rsid w:val="00924FB8"/>
    <w:rsid w:val="00925242"/>
    <w:rsid w:val="0092537B"/>
    <w:rsid w:val="0092573F"/>
    <w:rsid w:val="009259B9"/>
    <w:rsid w:val="00925A36"/>
    <w:rsid w:val="00925DAD"/>
    <w:rsid w:val="00925FD8"/>
    <w:rsid w:val="009263D4"/>
    <w:rsid w:val="009265EE"/>
    <w:rsid w:val="00926640"/>
    <w:rsid w:val="00926B6E"/>
    <w:rsid w:val="00926C24"/>
    <w:rsid w:val="00926E79"/>
    <w:rsid w:val="00926F6B"/>
    <w:rsid w:val="00927672"/>
    <w:rsid w:val="0092798F"/>
    <w:rsid w:val="00927C30"/>
    <w:rsid w:val="0093023B"/>
    <w:rsid w:val="00930533"/>
    <w:rsid w:val="009307B3"/>
    <w:rsid w:val="009308C4"/>
    <w:rsid w:val="00930AE4"/>
    <w:rsid w:val="00930B63"/>
    <w:rsid w:val="00931776"/>
    <w:rsid w:val="009319BB"/>
    <w:rsid w:val="00931CC6"/>
    <w:rsid w:val="0093285F"/>
    <w:rsid w:val="00932982"/>
    <w:rsid w:val="00932C4F"/>
    <w:rsid w:val="00932CA3"/>
    <w:rsid w:val="00933A3F"/>
    <w:rsid w:val="00933F91"/>
    <w:rsid w:val="0093455C"/>
    <w:rsid w:val="0093475D"/>
    <w:rsid w:val="0093477E"/>
    <w:rsid w:val="00934A57"/>
    <w:rsid w:val="00934BD7"/>
    <w:rsid w:val="00934C5E"/>
    <w:rsid w:val="00934D60"/>
    <w:rsid w:val="00934D7C"/>
    <w:rsid w:val="00934FF0"/>
    <w:rsid w:val="009356A3"/>
    <w:rsid w:val="0093636D"/>
    <w:rsid w:val="009363B6"/>
    <w:rsid w:val="0093651D"/>
    <w:rsid w:val="0093678A"/>
    <w:rsid w:val="0093692C"/>
    <w:rsid w:val="00936C16"/>
    <w:rsid w:val="00936C1E"/>
    <w:rsid w:val="00936C2B"/>
    <w:rsid w:val="00936F87"/>
    <w:rsid w:val="00937850"/>
    <w:rsid w:val="00937856"/>
    <w:rsid w:val="00937C30"/>
    <w:rsid w:val="009406DF"/>
    <w:rsid w:val="00940A6C"/>
    <w:rsid w:val="00941098"/>
    <w:rsid w:val="00941453"/>
    <w:rsid w:val="00941689"/>
    <w:rsid w:val="00941824"/>
    <w:rsid w:val="0094192D"/>
    <w:rsid w:val="00941ACB"/>
    <w:rsid w:val="00941F1D"/>
    <w:rsid w:val="0094221E"/>
    <w:rsid w:val="009423AF"/>
    <w:rsid w:val="00942504"/>
    <w:rsid w:val="0094281B"/>
    <w:rsid w:val="00943684"/>
    <w:rsid w:val="00943A11"/>
    <w:rsid w:val="00944601"/>
    <w:rsid w:val="0094480F"/>
    <w:rsid w:val="00944F4A"/>
    <w:rsid w:val="009450CB"/>
    <w:rsid w:val="00945586"/>
    <w:rsid w:val="00945615"/>
    <w:rsid w:val="00945906"/>
    <w:rsid w:val="009462F4"/>
    <w:rsid w:val="009467BD"/>
    <w:rsid w:val="00946E82"/>
    <w:rsid w:val="00946EF0"/>
    <w:rsid w:val="009471FB"/>
    <w:rsid w:val="00947418"/>
    <w:rsid w:val="00947830"/>
    <w:rsid w:val="00947B15"/>
    <w:rsid w:val="00947BAE"/>
    <w:rsid w:val="00947DC0"/>
    <w:rsid w:val="00947F0E"/>
    <w:rsid w:val="00950079"/>
    <w:rsid w:val="00950129"/>
    <w:rsid w:val="00950A5A"/>
    <w:rsid w:val="00950ABC"/>
    <w:rsid w:val="00950B67"/>
    <w:rsid w:val="00950F55"/>
    <w:rsid w:val="009511C8"/>
    <w:rsid w:val="00951365"/>
    <w:rsid w:val="009513C9"/>
    <w:rsid w:val="00951743"/>
    <w:rsid w:val="00951BEC"/>
    <w:rsid w:val="00951FE7"/>
    <w:rsid w:val="00952770"/>
    <w:rsid w:val="00952EB2"/>
    <w:rsid w:val="0095366E"/>
    <w:rsid w:val="00953CCA"/>
    <w:rsid w:val="00953EF0"/>
    <w:rsid w:val="00954161"/>
    <w:rsid w:val="00954423"/>
    <w:rsid w:val="00954604"/>
    <w:rsid w:val="0095466E"/>
    <w:rsid w:val="009554EB"/>
    <w:rsid w:val="009559F4"/>
    <w:rsid w:val="00955D52"/>
    <w:rsid w:val="009564E8"/>
    <w:rsid w:val="009566FE"/>
    <w:rsid w:val="00956B19"/>
    <w:rsid w:val="0095705D"/>
    <w:rsid w:val="0095710B"/>
    <w:rsid w:val="009573C4"/>
    <w:rsid w:val="0095775D"/>
    <w:rsid w:val="00957CF2"/>
    <w:rsid w:val="00957DFD"/>
    <w:rsid w:val="00960A27"/>
    <w:rsid w:val="00960A86"/>
    <w:rsid w:val="00961017"/>
    <w:rsid w:val="00961075"/>
    <w:rsid w:val="0096139B"/>
    <w:rsid w:val="00961628"/>
    <w:rsid w:val="00961936"/>
    <w:rsid w:val="00961A23"/>
    <w:rsid w:val="00961BF8"/>
    <w:rsid w:val="00962244"/>
    <w:rsid w:val="0096232A"/>
    <w:rsid w:val="0096235B"/>
    <w:rsid w:val="009626F4"/>
    <w:rsid w:val="009627D2"/>
    <w:rsid w:val="009629A4"/>
    <w:rsid w:val="009629BF"/>
    <w:rsid w:val="00962DEE"/>
    <w:rsid w:val="009631A1"/>
    <w:rsid w:val="00963435"/>
    <w:rsid w:val="0096343F"/>
    <w:rsid w:val="009639AB"/>
    <w:rsid w:val="00963D3E"/>
    <w:rsid w:val="009640F4"/>
    <w:rsid w:val="009644F0"/>
    <w:rsid w:val="009645F8"/>
    <w:rsid w:val="00964B06"/>
    <w:rsid w:val="00964D83"/>
    <w:rsid w:val="00964FFC"/>
    <w:rsid w:val="00965253"/>
    <w:rsid w:val="00965372"/>
    <w:rsid w:val="00965BF1"/>
    <w:rsid w:val="00965E9B"/>
    <w:rsid w:val="009665F6"/>
    <w:rsid w:val="009669BD"/>
    <w:rsid w:val="00966DD4"/>
    <w:rsid w:val="00966EE6"/>
    <w:rsid w:val="00966FCA"/>
    <w:rsid w:val="00967194"/>
    <w:rsid w:val="009671CA"/>
    <w:rsid w:val="00967985"/>
    <w:rsid w:val="00967CAE"/>
    <w:rsid w:val="0097008C"/>
    <w:rsid w:val="00970905"/>
    <w:rsid w:val="0097132D"/>
    <w:rsid w:val="00971388"/>
    <w:rsid w:val="00971447"/>
    <w:rsid w:val="009716C2"/>
    <w:rsid w:val="00971A98"/>
    <w:rsid w:val="00971CAA"/>
    <w:rsid w:val="00971E16"/>
    <w:rsid w:val="00972050"/>
    <w:rsid w:val="0097274A"/>
    <w:rsid w:val="00972ADB"/>
    <w:rsid w:val="00972C04"/>
    <w:rsid w:val="00972CE9"/>
    <w:rsid w:val="009732E8"/>
    <w:rsid w:val="0097363D"/>
    <w:rsid w:val="0097395D"/>
    <w:rsid w:val="00973BA2"/>
    <w:rsid w:val="00974215"/>
    <w:rsid w:val="0097428B"/>
    <w:rsid w:val="00974297"/>
    <w:rsid w:val="009749D3"/>
    <w:rsid w:val="00974C08"/>
    <w:rsid w:val="00974F7C"/>
    <w:rsid w:val="00975572"/>
    <w:rsid w:val="009758C5"/>
    <w:rsid w:val="009758DA"/>
    <w:rsid w:val="0097597B"/>
    <w:rsid w:val="009759F5"/>
    <w:rsid w:val="00976052"/>
    <w:rsid w:val="009761A5"/>
    <w:rsid w:val="009764B2"/>
    <w:rsid w:val="00976D08"/>
    <w:rsid w:val="00976D13"/>
    <w:rsid w:val="009774A9"/>
    <w:rsid w:val="0097751C"/>
    <w:rsid w:val="00977828"/>
    <w:rsid w:val="00977855"/>
    <w:rsid w:val="00977A4F"/>
    <w:rsid w:val="00977C9D"/>
    <w:rsid w:val="00977E9B"/>
    <w:rsid w:val="009800BD"/>
    <w:rsid w:val="009802F2"/>
    <w:rsid w:val="00980F98"/>
    <w:rsid w:val="0098107F"/>
    <w:rsid w:val="0098111C"/>
    <w:rsid w:val="00981349"/>
    <w:rsid w:val="0098193C"/>
    <w:rsid w:val="009823CD"/>
    <w:rsid w:val="009825FA"/>
    <w:rsid w:val="0098267D"/>
    <w:rsid w:val="009830EE"/>
    <w:rsid w:val="00983215"/>
    <w:rsid w:val="0098328D"/>
    <w:rsid w:val="00983354"/>
    <w:rsid w:val="0098344D"/>
    <w:rsid w:val="00983FE2"/>
    <w:rsid w:val="009841AE"/>
    <w:rsid w:val="009848C4"/>
    <w:rsid w:val="00984A27"/>
    <w:rsid w:val="00984A78"/>
    <w:rsid w:val="00984B90"/>
    <w:rsid w:val="00984E4A"/>
    <w:rsid w:val="0098508A"/>
    <w:rsid w:val="009850AA"/>
    <w:rsid w:val="0098527A"/>
    <w:rsid w:val="009853F2"/>
    <w:rsid w:val="0098571A"/>
    <w:rsid w:val="00985C26"/>
    <w:rsid w:val="0098630A"/>
    <w:rsid w:val="009866AB"/>
    <w:rsid w:val="009869E9"/>
    <w:rsid w:val="00986A97"/>
    <w:rsid w:val="00986C1F"/>
    <w:rsid w:val="009871BC"/>
    <w:rsid w:val="00987637"/>
    <w:rsid w:val="00987DF3"/>
    <w:rsid w:val="0099010D"/>
    <w:rsid w:val="0099017C"/>
    <w:rsid w:val="009901CE"/>
    <w:rsid w:val="0099048A"/>
    <w:rsid w:val="009908CB"/>
    <w:rsid w:val="00990993"/>
    <w:rsid w:val="00990FD3"/>
    <w:rsid w:val="00991F1C"/>
    <w:rsid w:val="00991FEA"/>
    <w:rsid w:val="0099236F"/>
    <w:rsid w:val="00992462"/>
    <w:rsid w:val="00992D3C"/>
    <w:rsid w:val="00992D75"/>
    <w:rsid w:val="00992E09"/>
    <w:rsid w:val="0099358B"/>
    <w:rsid w:val="00993749"/>
    <w:rsid w:val="00993C02"/>
    <w:rsid w:val="00994073"/>
    <w:rsid w:val="0099426D"/>
    <w:rsid w:val="0099430D"/>
    <w:rsid w:val="0099448A"/>
    <w:rsid w:val="009947CF"/>
    <w:rsid w:val="009949B6"/>
    <w:rsid w:val="00994C0E"/>
    <w:rsid w:val="00995465"/>
    <w:rsid w:val="0099552C"/>
    <w:rsid w:val="00996352"/>
    <w:rsid w:val="00996492"/>
    <w:rsid w:val="00996849"/>
    <w:rsid w:val="00996A13"/>
    <w:rsid w:val="00996A2D"/>
    <w:rsid w:val="00996F40"/>
    <w:rsid w:val="009970D3"/>
    <w:rsid w:val="00997165"/>
    <w:rsid w:val="009971B8"/>
    <w:rsid w:val="00997216"/>
    <w:rsid w:val="0099730C"/>
    <w:rsid w:val="00997402"/>
    <w:rsid w:val="0099793A"/>
    <w:rsid w:val="009A041E"/>
    <w:rsid w:val="009A1143"/>
    <w:rsid w:val="009A1989"/>
    <w:rsid w:val="009A1C10"/>
    <w:rsid w:val="009A2456"/>
    <w:rsid w:val="009A265C"/>
    <w:rsid w:val="009A266B"/>
    <w:rsid w:val="009A27BF"/>
    <w:rsid w:val="009A2A58"/>
    <w:rsid w:val="009A2C0D"/>
    <w:rsid w:val="009A2D9D"/>
    <w:rsid w:val="009A32BE"/>
    <w:rsid w:val="009A3609"/>
    <w:rsid w:val="009A3879"/>
    <w:rsid w:val="009A3C04"/>
    <w:rsid w:val="009A50CA"/>
    <w:rsid w:val="009A5636"/>
    <w:rsid w:val="009A5732"/>
    <w:rsid w:val="009A640B"/>
    <w:rsid w:val="009A6571"/>
    <w:rsid w:val="009A6B3E"/>
    <w:rsid w:val="009A7233"/>
    <w:rsid w:val="009A7831"/>
    <w:rsid w:val="009A7BB9"/>
    <w:rsid w:val="009A7BF6"/>
    <w:rsid w:val="009B03DA"/>
    <w:rsid w:val="009B0400"/>
    <w:rsid w:val="009B07A3"/>
    <w:rsid w:val="009B0E32"/>
    <w:rsid w:val="009B0E9D"/>
    <w:rsid w:val="009B0F9F"/>
    <w:rsid w:val="009B1030"/>
    <w:rsid w:val="009B1702"/>
    <w:rsid w:val="009B195A"/>
    <w:rsid w:val="009B1F0D"/>
    <w:rsid w:val="009B271D"/>
    <w:rsid w:val="009B2973"/>
    <w:rsid w:val="009B2CA1"/>
    <w:rsid w:val="009B2E54"/>
    <w:rsid w:val="009B3066"/>
    <w:rsid w:val="009B32A1"/>
    <w:rsid w:val="009B3D4D"/>
    <w:rsid w:val="009B489F"/>
    <w:rsid w:val="009B4FC2"/>
    <w:rsid w:val="009B69D7"/>
    <w:rsid w:val="009B6C42"/>
    <w:rsid w:val="009B6EB9"/>
    <w:rsid w:val="009B6FF9"/>
    <w:rsid w:val="009B70BB"/>
    <w:rsid w:val="009B7799"/>
    <w:rsid w:val="009B7A59"/>
    <w:rsid w:val="009B7C63"/>
    <w:rsid w:val="009C0173"/>
    <w:rsid w:val="009C07FB"/>
    <w:rsid w:val="009C16FD"/>
    <w:rsid w:val="009C1949"/>
    <w:rsid w:val="009C2011"/>
    <w:rsid w:val="009C22E3"/>
    <w:rsid w:val="009C2EA6"/>
    <w:rsid w:val="009C2FBE"/>
    <w:rsid w:val="009C3348"/>
    <w:rsid w:val="009C4046"/>
    <w:rsid w:val="009C4114"/>
    <w:rsid w:val="009C4511"/>
    <w:rsid w:val="009C4529"/>
    <w:rsid w:val="009C4718"/>
    <w:rsid w:val="009C49EC"/>
    <w:rsid w:val="009C4A1C"/>
    <w:rsid w:val="009C4C0E"/>
    <w:rsid w:val="009C51DE"/>
    <w:rsid w:val="009C59F1"/>
    <w:rsid w:val="009C59F9"/>
    <w:rsid w:val="009C5B18"/>
    <w:rsid w:val="009C5C58"/>
    <w:rsid w:val="009C5F8F"/>
    <w:rsid w:val="009C6467"/>
    <w:rsid w:val="009C66EA"/>
    <w:rsid w:val="009C6ABE"/>
    <w:rsid w:val="009C759B"/>
    <w:rsid w:val="009C7E28"/>
    <w:rsid w:val="009D06E7"/>
    <w:rsid w:val="009D0793"/>
    <w:rsid w:val="009D0851"/>
    <w:rsid w:val="009D0B53"/>
    <w:rsid w:val="009D1561"/>
    <w:rsid w:val="009D1921"/>
    <w:rsid w:val="009D1AE1"/>
    <w:rsid w:val="009D1BF1"/>
    <w:rsid w:val="009D2002"/>
    <w:rsid w:val="009D22B7"/>
    <w:rsid w:val="009D2472"/>
    <w:rsid w:val="009D2856"/>
    <w:rsid w:val="009D2C9B"/>
    <w:rsid w:val="009D2E17"/>
    <w:rsid w:val="009D2EA4"/>
    <w:rsid w:val="009D3006"/>
    <w:rsid w:val="009D338F"/>
    <w:rsid w:val="009D355C"/>
    <w:rsid w:val="009D37C8"/>
    <w:rsid w:val="009D3F9A"/>
    <w:rsid w:val="009D422B"/>
    <w:rsid w:val="009D485D"/>
    <w:rsid w:val="009D4E4F"/>
    <w:rsid w:val="009D5A01"/>
    <w:rsid w:val="009D5B4D"/>
    <w:rsid w:val="009D6877"/>
    <w:rsid w:val="009D6B29"/>
    <w:rsid w:val="009D6BFA"/>
    <w:rsid w:val="009D6C98"/>
    <w:rsid w:val="009D70CB"/>
    <w:rsid w:val="009D7430"/>
    <w:rsid w:val="009D7C62"/>
    <w:rsid w:val="009E05D0"/>
    <w:rsid w:val="009E0CF4"/>
    <w:rsid w:val="009E0FC8"/>
    <w:rsid w:val="009E1426"/>
    <w:rsid w:val="009E1DD1"/>
    <w:rsid w:val="009E1E2E"/>
    <w:rsid w:val="009E2451"/>
    <w:rsid w:val="009E260E"/>
    <w:rsid w:val="009E2A29"/>
    <w:rsid w:val="009E2A5E"/>
    <w:rsid w:val="009E2B9F"/>
    <w:rsid w:val="009E2CF0"/>
    <w:rsid w:val="009E2E50"/>
    <w:rsid w:val="009E2FA4"/>
    <w:rsid w:val="009E30CA"/>
    <w:rsid w:val="009E31BF"/>
    <w:rsid w:val="009E34FF"/>
    <w:rsid w:val="009E3658"/>
    <w:rsid w:val="009E386A"/>
    <w:rsid w:val="009E3D95"/>
    <w:rsid w:val="009E3DBF"/>
    <w:rsid w:val="009E3E9F"/>
    <w:rsid w:val="009E4A0C"/>
    <w:rsid w:val="009E4EF7"/>
    <w:rsid w:val="009E5586"/>
    <w:rsid w:val="009E57AA"/>
    <w:rsid w:val="009E5844"/>
    <w:rsid w:val="009E5B97"/>
    <w:rsid w:val="009E5DE1"/>
    <w:rsid w:val="009E60DC"/>
    <w:rsid w:val="009E6D8B"/>
    <w:rsid w:val="009E6FAB"/>
    <w:rsid w:val="009E703C"/>
    <w:rsid w:val="009E7128"/>
    <w:rsid w:val="009E7345"/>
    <w:rsid w:val="009F04A6"/>
    <w:rsid w:val="009F05BE"/>
    <w:rsid w:val="009F0683"/>
    <w:rsid w:val="009F0B67"/>
    <w:rsid w:val="009F1288"/>
    <w:rsid w:val="009F157A"/>
    <w:rsid w:val="009F1596"/>
    <w:rsid w:val="009F1BEE"/>
    <w:rsid w:val="009F1C31"/>
    <w:rsid w:val="009F1D2A"/>
    <w:rsid w:val="009F2019"/>
    <w:rsid w:val="009F2665"/>
    <w:rsid w:val="009F29BE"/>
    <w:rsid w:val="009F2D92"/>
    <w:rsid w:val="009F2FD1"/>
    <w:rsid w:val="009F32CE"/>
    <w:rsid w:val="009F3CFF"/>
    <w:rsid w:val="009F42AC"/>
    <w:rsid w:val="009F49EF"/>
    <w:rsid w:val="009F4B3C"/>
    <w:rsid w:val="009F4E09"/>
    <w:rsid w:val="009F54B7"/>
    <w:rsid w:val="009F5570"/>
    <w:rsid w:val="009F55C5"/>
    <w:rsid w:val="009F59DB"/>
    <w:rsid w:val="009F675E"/>
    <w:rsid w:val="009F694F"/>
    <w:rsid w:val="009F6B15"/>
    <w:rsid w:val="009F715B"/>
    <w:rsid w:val="009F7955"/>
    <w:rsid w:val="009F7B7C"/>
    <w:rsid w:val="00A00FB3"/>
    <w:rsid w:val="00A01895"/>
    <w:rsid w:val="00A022F3"/>
    <w:rsid w:val="00A02492"/>
    <w:rsid w:val="00A03116"/>
    <w:rsid w:val="00A03FAF"/>
    <w:rsid w:val="00A0422B"/>
    <w:rsid w:val="00A04578"/>
    <w:rsid w:val="00A047EB"/>
    <w:rsid w:val="00A04928"/>
    <w:rsid w:val="00A04BE9"/>
    <w:rsid w:val="00A04C6C"/>
    <w:rsid w:val="00A05242"/>
    <w:rsid w:val="00A05589"/>
    <w:rsid w:val="00A0592B"/>
    <w:rsid w:val="00A05B3C"/>
    <w:rsid w:val="00A063B1"/>
    <w:rsid w:val="00A06622"/>
    <w:rsid w:val="00A0678F"/>
    <w:rsid w:val="00A06965"/>
    <w:rsid w:val="00A06A32"/>
    <w:rsid w:val="00A074F2"/>
    <w:rsid w:val="00A07F00"/>
    <w:rsid w:val="00A10440"/>
    <w:rsid w:val="00A10624"/>
    <w:rsid w:val="00A110F3"/>
    <w:rsid w:val="00A1111B"/>
    <w:rsid w:val="00A112B5"/>
    <w:rsid w:val="00A11349"/>
    <w:rsid w:val="00A11715"/>
    <w:rsid w:val="00A11918"/>
    <w:rsid w:val="00A11B6C"/>
    <w:rsid w:val="00A11E36"/>
    <w:rsid w:val="00A122B4"/>
    <w:rsid w:val="00A123ED"/>
    <w:rsid w:val="00A125B8"/>
    <w:rsid w:val="00A12783"/>
    <w:rsid w:val="00A12B40"/>
    <w:rsid w:val="00A1329D"/>
    <w:rsid w:val="00A13684"/>
    <w:rsid w:val="00A138F9"/>
    <w:rsid w:val="00A13A80"/>
    <w:rsid w:val="00A13DA0"/>
    <w:rsid w:val="00A13E0C"/>
    <w:rsid w:val="00A13EDB"/>
    <w:rsid w:val="00A14A2C"/>
    <w:rsid w:val="00A14DA1"/>
    <w:rsid w:val="00A152F3"/>
    <w:rsid w:val="00A1553D"/>
    <w:rsid w:val="00A15BD1"/>
    <w:rsid w:val="00A16063"/>
    <w:rsid w:val="00A161AC"/>
    <w:rsid w:val="00A162B0"/>
    <w:rsid w:val="00A16A3D"/>
    <w:rsid w:val="00A16C4B"/>
    <w:rsid w:val="00A17193"/>
    <w:rsid w:val="00A20018"/>
    <w:rsid w:val="00A200EE"/>
    <w:rsid w:val="00A208AC"/>
    <w:rsid w:val="00A20AE5"/>
    <w:rsid w:val="00A20F47"/>
    <w:rsid w:val="00A2130B"/>
    <w:rsid w:val="00A21642"/>
    <w:rsid w:val="00A2172B"/>
    <w:rsid w:val="00A219AC"/>
    <w:rsid w:val="00A219BC"/>
    <w:rsid w:val="00A21D2E"/>
    <w:rsid w:val="00A22A12"/>
    <w:rsid w:val="00A230B0"/>
    <w:rsid w:val="00A232A8"/>
    <w:rsid w:val="00A232AE"/>
    <w:rsid w:val="00A2354F"/>
    <w:rsid w:val="00A245AE"/>
    <w:rsid w:val="00A2483A"/>
    <w:rsid w:val="00A24F7B"/>
    <w:rsid w:val="00A25113"/>
    <w:rsid w:val="00A25850"/>
    <w:rsid w:val="00A26C87"/>
    <w:rsid w:val="00A26DE5"/>
    <w:rsid w:val="00A2760F"/>
    <w:rsid w:val="00A27769"/>
    <w:rsid w:val="00A302AD"/>
    <w:rsid w:val="00A30B21"/>
    <w:rsid w:val="00A30B39"/>
    <w:rsid w:val="00A30B44"/>
    <w:rsid w:val="00A30B97"/>
    <w:rsid w:val="00A313CE"/>
    <w:rsid w:val="00A3150E"/>
    <w:rsid w:val="00A31615"/>
    <w:rsid w:val="00A31F2D"/>
    <w:rsid w:val="00A322A7"/>
    <w:rsid w:val="00A322D3"/>
    <w:rsid w:val="00A32A3B"/>
    <w:rsid w:val="00A32CD4"/>
    <w:rsid w:val="00A33147"/>
    <w:rsid w:val="00A334BA"/>
    <w:rsid w:val="00A339A5"/>
    <w:rsid w:val="00A33BCF"/>
    <w:rsid w:val="00A33E65"/>
    <w:rsid w:val="00A34180"/>
    <w:rsid w:val="00A34264"/>
    <w:rsid w:val="00A3446F"/>
    <w:rsid w:val="00A34609"/>
    <w:rsid w:val="00A34EE1"/>
    <w:rsid w:val="00A34F69"/>
    <w:rsid w:val="00A35225"/>
    <w:rsid w:val="00A35444"/>
    <w:rsid w:val="00A354CE"/>
    <w:rsid w:val="00A359C4"/>
    <w:rsid w:val="00A35FF2"/>
    <w:rsid w:val="00A3618D"/>
    <w:rsid w:val="00A36281"/>
    <w:rsid w:val="00A3683A"/>
    <w:rsid w:val="00A368F2"/>
    <w:rsid w:val="00A36E2E"/>
    <w:rsid w:val="00A36F24"/>
    <w:rsid w:val="00A3704A"/>
    <w:rsid w:val="00A37FE8"/>
    <w:rsid w:val="00A400EE"/>
    <w:rsid w:val="00A40103"/>
    <w:rsid w:val="00A4044C"/>
    <w:rsid w:val="00A404CE"/>
    <w:rsid w:val="00A40577"/>
    <w:rsid w:val="00A40601"/>
    <w:rsid w:val="00A40C0E"/>
    <w:rsid w:val="00A40CFF"/>
    <w:rsid w:val="00A40E9F"/>
    <w:rsid w:val="00A40FFC"/>
    <w:rsid w:val="00A4121D"/>
    <w:rsid w:val="00A41A3B"/>
    <w:rsid w:val="00A41A42"/>
    <w:rsid w:val="00A41EC5"/>
    <w:rsid w:val="00A421D6"/>
    <w:rsid w:val="00A424E2"/>
    <w:rsid w:val="00A4253B"/>
    <w:rsid w:val="00A429BF"/>
    <w:rsid w:val="00A42BC4"/>
    <w:rsid w:val="00A42C4A"/>
    <w:rsid w:val="00A42D5E"/>
    <w:rsid w:val="00A4368B"/>
    <w:rsid w:val="00A436A2"/>
    <w:rsid w:val="00A436DA"/>
    <w:rsid w:val="00A43796"/>
    <w:rsid w:val="00A44C28"/>
    <w:rsid w:val="00A45691"/>
    <w:rsid w:val="00A45F8C"/>
    <w:rsid w:val="00A4602C"/>
    <w:rsid w:val="00A46099"/>
    <w:rsid w:val="00A461B4"/>
    <w:rsid w:val="00A4632D"/>
    <w:rsid w:val="00A46390"/>
    <w:rsid w:val="00A465D9"/>
    <w:rsid w:val="00A466C3"/>
    <w:rsid w:val="00A466F2"/>
    <w:rsid w:val="00A472EF"/>
    <w:rsid w:val="00A47B45"/>
    <w:rsid w:val="00A47D86"/>
    <w:rsid w:val="00A500A0"/>
    <w:rsid w:val="00A502AC"/>
    <w:rsid w:val="00A50650"/>
    <w:rsid w:val="00A50789"/>
    <w:rsid w:val="00A50CD7"/>
    <w:rsid w:val="00A50DF4"/>
    <w:rsid w:val="00A51106"/>
    <w:rsid w:val="00A5123F"/>
    <w:rsid w:val="00A51821"/>
    <w:rsid w:val="00A51892"/>
    <w:rsid w:val="00A51A3B"/>
    <w:rsid w:val="00A51B4A"/>
    <w:rsid w:val="00A51DB1"/>
    <w:rsid w:val="00A51F3D"/>
    <w:rsid w:val="00A52096"/>
    <w:rsid w:val="00A52156"/>
    <w:rsid w:val="00A526B1"/>
    <w:rsid w:val="00A52935"/>
    <w:rsid w:val="00A52E03"/>
    <w:rsid w:val="00A5313E"/>
    <w:rsid w:val="00A534F6"/>
    <w:rsid w:val="00A53C0C"/>
    <w:rsid w:val="00A53CCB"/>
    <w:rsid w:val="00A53E45"/>
    <w:rsid w:val="00A5439C"/>
    <w:rsid w:val="00A5480B"/>
    <w:rsid w:val="00A54AB7"/>
    <w:rsid w:val="00A550EA"/>
    <w:rsid w:val="00A552F7"/>
    <w:rsid w:val="00A55B4B"/>
    <w:rsid w:val="00A55D75"/>
    <w:rsid w:val="00A55E91"/>
    <w:rsid w:val="00A55EC8"/>
    <w:rsid w:val="00A56508"/>
    <w:rsid w:val="00A56936"/>
    <w:rsid w:val="00A56FDB"/>
    <w:rsid w:val="00A5732D"/>
    <w:rsid w:val="00A57C36"/>
    <w:rsid w:val="00A6005C"/>
    <w:rsid w:val="00A6052D"/>
    <w:rsid w:val="00A60727"/>
    <w:rsid w:val="00A6162F"/>
    <w:rsid w:val="00A61638"/>
    <w:rsid w:val="00A61E39"/>
    <w:rsid w:val="00A62140"/>
    <w:rsid w:val="00A62DB3"/>
    <w:rsid w:val="00A62DBF"/>
    <w:rsid w:val="00A62E6C"/>
    <w:rsid w:val="00A62FE1"/>
    <w:rsid w:val="00A63116"/>
    <w:rsid w:val="00A63555"/>
    <w:rsid w:val="00A638CD"/>
    <w:rsid w:val="00A63B9C"/>
    <w:rsid w:val="00A63E82"/>
    <w:rsid w:val="00A6418A"/>
    <w:rsid w:val="00A6444F"/>
    <w:rsid w:val="00A64754"/>
    <w:rsid w:val="00A65096"/>
    <w:rsid w:val="00A65B3D"/>
    <w:rsid w:val="00A66240"/>
    <w:rsid w:val="00A664AD"/>
    <w:rsid w:val="00A66D81"/>
    <w:rsid w:val="00A679FB"/>
    <w:rsid w:val="00A67AA0"/>
    <w:rsid w:val="00A67AAF"/>
    <w:rsid w:val="00A70666"/>
    <w:rsid w:val="00A709D0"/>
    <w:rsid w:val="00A70A5D"/>
    <w:rsid w:val="00A70B80"/>
    <w:rsid w:val="00A70D65"/>
    <w:rsid w:val="00A70EDC"/>
    <w:rsid w:val="00A7110E"/>
    <w:rsid w:val="00A718DF"/>
    <w:rsid w:val="00A71AEF"/>
    <w:rsid w:val="00A71B05"/>
    <w:rsid w:val="00A71D6A"/>
    <w:rsid w:val="00A71FD8"/>
    <w:rsid w:val="00A72293"/>
    <w:rsid w:val="00A72340"/>
    <w:rsid w:val="00A72664"/>
    <w:rsid w:val="00A72901"/>
    <w:rsid w:val="00A72EEB"/>
    <w:rsid w:val="00A72F7F"/>
    <w:rsid w:val="00A7308B"/>
    <w:rsid w:val="00A73C6D"/>
    <w:rsid w:val="00A73C71"/>
    <w:rsid w:val="00A73CF7"/>
    <w:rsid w:val="00A74102"/>
    <w:rsid w:val="00A74553"/>
    <w:rsid w:val="00A746CC"/>
    <w:rsid w:val="00A74C17"/>
    <w:rsid w:val="00A74CEA"/>
    <w:rsid w:val="00A74E68"/>
    <w:rsid w:val="00A750F7"/>
    <w:rsid w:val="00A75273"/>
    <w:rsid w:val="00A75878"/>
    <w:rsid w:val="00A75F82"/>
    <w:rsid w:val="00A762B2"/>
    <w:rsid w:val="00A76B64"/>
    <w:rsid w:val="00A76DC3"/>
    <w:rsid w:val="00A76EE4"/>
    <w:rsid w:val="00A7747A"/>
    <w:rsid w:val="00A77A71"/>
    <w:rsid w:val="00A77CDD"/>
    <w:rsid w:val="00A80127"/>
    <w:rsid w:val="00A80158"/>
    <w:rsid w:val="00A80B07"/>
    <w:rsid w:val="00A80CC3"/>
    <w:rsid w:val="00A80CFF"/>
    <w:rsid w:val="00A813CB"/>
    <w:rsid w:val="00A81974"/>
    <w:rsid w:val="00A81A63"/>
    <w:rsid w:val="00A81F89"/>
    <w:rsid w:val="00A82012"/>
    <w:rsid w:val="00A830A5"/>
    <w:rsid w:val="00A8366A"/>
    <w:rsid w:val="00A837F1"/>
    <w:rsid w:val="00A83D47"/>
    <w:rsid w:val="00A83E7C"/>
    <w:rsid w:val="00A842D2"/>
    <w:rsid w:val="00A849B0"/>
    <w:rsid w:val="00A84F66"/>
    <w:rsid w:val="00A857F7"/>
    <w:rsid w:val="00A85933"/>
    <w:rsid w:val="00A85D8B"/>
    <w:rsid w:val="00A85FA1"/>
    <w:rsid w:val="00A861C4"/>
    <w:rsid w:val="00A8738A"/>
    <w:rsid w:val="00A8745F"/>
    <w:rsid w:val="00A8780C"/>
    <w:rsid w:val="00A878FC"/>
    <w:rsid w:val="00A9057A"/>
    <w:rsid w:val="00A9070C"/>
    <w:rsid w:val="00A909E8"/>
    <w:rsid w:val="00A912A9"/>
    <w:rsid w:val="00A917DE"/>
    <w:rsid w:val="00A91898"/>
    <w:rsid w:val="00A9204D"/>
    <w:rsid w:val="00A92301"/>
    <w:rsid w:val="00A9248E"/>
    <w:rsid w:val="00A929BB"/>
    <w:rsid w:val="00A92D19"/>
    <w:rsid w:val="00A9342C"/>
    <w:rsid w:val="00A93486"/>
    <w:rsid w:val="00A93854"/>
    <w:rsid w:val="00A93F27"/>
    <w:rsid w:val="00A94022"/>
    <w:rsid w:val="00A944A8"/>
    <w:rsid w:val="00A94738"/>
    <w:rsid w:val="00A949F0"/>
    <w:rsid w:val="00A94B0D"/>
    <w:rsid w:val="00A94E04"/>
    <w:rsid w:val="00A952E5"/>
    <w:rsid w:val="00A9593E"/>
    <w:rsid w:val="00A95E10"/>
    <w:rsid w:val="00A9632D"/>
    <w:rsid w:val="00A964C1"/>
    <w:rsid w:val="00A96844"/>
    <w:rsid w:val="00A96862"/>
    <w:rsid w:val="00A97185"/>
    <w:rsid w:val="00A972AE"/>
    <w:rsid w:val="00A979FC"/>
    <w:rsid w:val="00A97A55"/>
    <w:rsid w:val="00A97F3D"/>
    <w:rsid w:val="00AA00C4"/>
    <w:rsid w:val="00AA02C3"/>
    <w:rsid w:val="00AA0437"/>
    <w:rsid w:val="00AA04AC"/>
    <w:rsid w:val="00AA04E2"/>
    <w:rsid w:val="00AA0523"/>
    <w:rsid w:val="00AA0DCC"/>
    <w:rsid w:val="00AA0F02"/>
    <w:rsid w:val="00AA1E24"/>
    <w:rsid w:val="00AA20D3"/>
    <w:rsid w:val="00AA2715"/>
    <w:rsid w:val="00AA28A7"/>
    <w:rsid w:val="00AA28AD"/>
    <w:rsid w:val="00AA2A16"/>
    <w:rsid w:val="00AA2A76"/>
    <w:rsid w:val="00AA307A"/>
    <w:rsid w:val="00AA31E8"/>
    <w:rsid w:val="00AA35D4"/>
    <w:rsid w:val="00AA3A25"/>
    <w:rsid w:val="00AA3BA1"/>
    <w:rsid w:val="00AA3FFE"/>
    <w:rsid w:val="00AA43AC"/>
    <w:rsid w:val="00AA473B"/>
    <w:rsid w:val="00AA4B3B"/>
    <w:rsid w:val="00AA4BD9"/>
    <w:rsid w:val="00AA4D44"/>
    <w:rsid w:val="00AA5248"/>
    <w:rsid w:val="00AA5A9B"/>
    <w:rsid w:val="00AA5D5F"/>
    <w:rsid w:val="00AA66DD"/>
    <w:rsid w:val="00AA6864"/>
    <w:rsid w:val="00AA6CD6"/>
    <w:rsid w:val="00AA6E4B"/>
    <w:rsid w:val="00AA6E88"/>
    <w:rsid w:val="00AA6F16"/>
    <w:rsid w:val="00AA7AB6"/>
    <w:rsid w:val="00AA7F0D"/>
    <w:rsid w:val="00AB0B3D"/>
    <w:rsid w:val="00AB101B"/>
    <w:rsid w:val="00AB135E"/>
    <w:rsid w:val="00AB13BD"/>
    <w:rsid w:val="00AB1B87"/>
    <w:rsid w:val="00AB2412"/>
    <w:rsid w:val="00AB24A9"/>
    <w:rsid w:val="00AB25CE"/>
    <w:rsid w:val="00AB2C9D"/>
    <w:rsid w:val="00AB3063"/>
    <w:rsid w:val="00AB310B"/>
    <w:rsid w:val="00AB313A"/>
    <w:rsid w:val="00AB325D"/>
    <w:rsid w:val="00AB3546"/>
    <w:rsid w:val="00AB3980"/>
    <w:rsid w:val="00AB3D16"/>
    <w:rsid w:val="00AB3DD4"/>
    <w:rsid w:val="00AB4179"/>
    <w:rsid w:val="00AB431D"/>
    <w:rsid w:val="00AB4B0D"/>
    <w:rsid w:val="00AB4C9D"/>
    <w:rsid w:val="00AB4D6E"/>
    <w:rsid w:val="00AB4DFB"/>
    <w:rsid w:val="00AB53C9"/>
    <w:rsid w:val="00AB5A08"/>
    <w:rsid w:val="00AB5A65"/>
    <w:rsid w:val="00AB61D6"/>
    <w:rsid w:val="00AB64D5"/>
    <w:rsid w:val="00AB68BD"/>
    <w:rsid w:val="00AB6CEC"/>
    <w:rsid w:val="00AB6D10"/>
    <w:rsid w:val="00AB77A4"/>
    <w:rsid w:val="00AB7CA0"/>
    <w:rsid w:val="00AB7DB2"/>
    <w:rsid w:val="00AB7EAA"/>
    <w:rsid w:val="00AC00BC"/>
    <w:rsid w:val="00AC0A4A"/>
    <w:rsid w:val="00AC1685"/>
    <w:rsid w:val="00AC1B0A"/>
    <w:rsid w:val="00AC1C6B"/>
    <w:rsid w:val="00AC1D0A"/>
    <w:rsid w:val="00AC2EC4"/>
    <w:rsid w:val="00AC3196"/>
    <w:rsid w:val="00AC34BC"/>
    <w:rsid w:val="00AC36E4"/>
    <w:rsid w:val="00AC390E"/>
    <w:rsid w:val="00AC3FD3"/>
    <w:rsid w:val="00AC49AD"/>
    <w:rsid w:val="00AC5040"/>
    <w:rsid w:val="00AC55A0"/>
    <w:rsid w:val="00AC5615"/>
    <w:rsid w:val="00AC5BD4"/>
    <w:rsid w:val="00AC5F04"/>
    <w:rsid w:val="00AC6133"/>
    <w:rsid w:val="00AC614F"/>
    <w:rsid w:val="00AC6885"/>
    <w:rsid w:val="00AC6AA3"/>
    <w:rsid w:val="00AC6BE9"/>
    <w:rsid w:val="00AC6C17"/>
    <w:rsid w:val="00AC6C2A"/>
    <w:rsid w:val="00AC7147"/>
    <w:rsid w:val="00AC722A"/>
    <w:rsid w:val="00AC77DB"/>
    <w:rsid w:val="00AC7CBE"/>
    <w:rsid w:val="00AC7D66"/>
    <w:rsid w:val="00AD00BE"/>
    <w:rsid w:val="00AD058D"/>
    <w:rsid w:val="00AD0593"/>
    <w:rsid w:val="00AD1058"/>
    <w:rsid w:val="00AD10AA"/>
    <w:rsid w:val="00AD114E"/>
    <w:rsid w:val="00AD11B4"/>
    <w:rsid w:val="00AD158E"/>
    <w:rsid w:val="00AD2905"/>
    <w:rsid w:val="00AD329B"/>
    <w:rsid w:val="00AD3B26"/>
    <w:rsid w:val="00AD4A48"/>
    <w:rsid w:val="00AD4D5B"/>
    <w:rsid w:val="00AD4DFD"/>
    <w:rsid w:val="00AD4E27"/>
    <w:rsid w:val="00AD5C4A"/>
    <w:rsid w:val="00AD6017"/>
    <w:rsid w:val="00AD615E"/>
    <w:rsid w:val="00AD6558"/>
    <w:rsid w:val="00AD662C"/>
    <w:rsid w:val="00AD672A"/>
    <w:rsid w:val="00AD6CCD"/>
    <w:rsid w:val="00AD6FAB"/>
    <w:rsid w:val="00AD732C"/>
    <w:rsid w:val="00AD73BA"/>
    <w:rsid w:val="00AD7676"/>
    <w:rsid w:val="00AD78CD"/>
    <w:rsid w:val="00AD7DAD"/>
    <w:rsid w:val="00AE0A2B"/>
    <w:rsid w:val="00AE0B9C"/>
    <w:rsid w:val="00AE15BC"/>
    <w:rsid w:val="00AE1BEE"/>
    <w:rsid w:val="00AE1C50"/>
    <w:rsid w:val="00AE1D84"/>
    <w:rsid w:val="00AE26E7"/>
    <w:rsid w:val="00AE26F5"/>
    <w:rsid w:val="00AE29CE"/>
    <w:rsid w:val="00AE37E1"/>
    <w:rsid w:val="00AE386D"/>
    <w:rsid w:val="00AE411A"/>
    <w:rsid w:val="00AE49D0"/>
    <w:rsid w:val="00AE4B91"/>
    <w:rsid w:val="00AE4BDC"/>
    <w:rsid w:val="00AE4C0F"/>
    <w:rsid w:val="00AE4C5C"/>
    <w:rsid w:val="00AE520F"/>
    <w:rsid w:val="00AE564D"/>
    <w:rsid w:val="00AE5EB7"/>
    <w:rsid w:val="00AE652D"/>
    <w:rsid w:val="00AE7107"/>
    <w:rsid w:val="00AE7855"/>
    <w:rsid w:val="00AE791C"/>
    <w:rsid w:val="00AF056A"/>
    <w:rsid w:val="00AF0D12"/>
    <w:rsid w:val="00AF0DF7"/>
    <w:rsid w:val="00AF0F3D"/>
    <w:rsid w:val="00AF1038"/>
    <w:rsid w:val="00AF1681"/>
    <w:rsid w:val="00AF18E4"/>
    <w:rsid w:val="00AF1C5E"/>
    <w:rsid w:val="00AF1CD8"/>
    <w:rsid w:val="00AF239D"/>
    <w:rsid w:val="00AF2AC9"/>
    <w:rsid w:val="00AF335E"/>
    <w:rsid w:val="00AF341F"/>
    <w:rsid w:val="00AF35EC"/>
    <w:rsid w:val="00AF378F"/>
    <w:rsid w:val="00AF3A1C"/>
    <w:rsid w:val="00AF3C40"/>
    <w:rsid w:val="00AF4739"/>
    <w:rsid w:val="00AF48AD"/>
    <w:rsid w:val="00AF4F82"/>
    <w:rsid w:val="00AF5086"/>
    <w:rsid w:val="00AF54C4"/>
    <w:rsid w:val="00AF5568"/>
    <w:rsid w:val="00AF5747"/>
    <w:rsid w:val="00AF574C"/>
    <w:rsid w:val="00AF591F"/>
    <w:rsid w:val="00AF597B"/>
    <w:rsid w:val="00AF6028"/>
    <w:rsid w:val="00AF634F"/>
    <w:rsid w:val="00AF63A6"/>
    <w:rsid w:val="00AF6E7C"/>
    <w:rsid w:val="00AF6E7F"/>
    <w:rsid w:val="00AF7141"/>
    <w:rsid w:val="00AF740D"/>
    <w:rsid w:val="00AF789C"/>
    <w:rsid w:val="00AF78AD"/>
    <w:rsid w:val="00AF7CB2"/>
    <w:rsid w:val="00AF7E1A"/>
    <w:rsid w:val="00AF7E29"/>
    <w:rsid w:val="00B0039C"/>
    <w:rsid w:val="00B0089E"/>
    <w:rsid w:val="00B00A2C"/>
    <w:rsid w:val="00B00DDD"/>
    <w:rsid w:val="00B00EDF"/>
    <w:rsid w:val="00B01091"/>
    <w:rsid w:val="00B01A86"/>
    <w:rsid w:val="00B01AF4"/>
    <w:rsid w:val="00B01CA3"/>
    <w:rsid w:val="00B02050"/>
    <w:rsid w:val="00B02167"/>
    <w:rsid w:val="00B025A8"/>
    <w:rsid w:val="00B026FB"/>
    <w:rsid w:val="00B027C1"/>
    <w:rsid w:val="00B029FD"/>
    <w:rsid w:val="00B02AA3"/>
    <w:rsid w:val="00B02BDB"/>
    <w:rsid w:val="00B02F22"/>
    <w:rsid w:val="00B03028"/>
    <w:rsid w:val="00B03322"/>
    <w:rsid w:val="00B03960"/>
    <w:rsid w:val="00B03CA0"/>
    <w:rsid w:val="00B03D19"/>
    <w:rsid w:val="00B03D7A"/>
    <w:rsid w:val="00B040D9"/>
    <w:rsid w:val="00B042EC"/>
    <w:rsid w:val="00B044F5"/>
    <w:rsid w:val="00B04512"/>
    <w:rsid w:val="00B04680"/>
    <w:rsid w:val="00B049B5"/>
    <w:rsid w:val="00B04B3C"/>
    <w:rsid w:val="00B05102"/>
    <w:rsid w:val="00B054D7"/>
    <w:rsid w:val="00B0565B"/>
    <w:rsid w:val="00B05B51"/>
    <w:rsid w:val="00B06438"/>
    <w:rsid w:val="00B06473"/>
    <w:rsid w:val="00B068C2"/>
    <w:rsid w:val="00B068DE"/>
    <w:rsid w:val="00B06961"/>
    <w:rsid w:val="00B06D5E"/>
    <w:rsid w:val="00B06E2A"/>
    <w:rsid w:val="00B06FF0"/>
    <w:rsid w:val="00B07B87"/>
    <w:rsid w:val="00B102F0"/>
    <w:rsid w:val="00B1040F"/>
    <w:rsid w:val="00B104A1"/>
    <w:rsid w:val="00B10ECA"/>
    <w:rsid w:val="00B110DD"/>
    <w:rsid w:val="00B11278"/>
    <w:rsid w:val="00B11304"/>
    <w:rsid w:val="00B11387"/>
    <w:rsid w:val="00B117B1"/>
    <w:rsid w:val="00B1183F"/>
    <w:rsid w:val="00B11995"/>
    <w:rsid w:val="00B11A13"/>
    <w:rsid w:val="00B11AD6"/>
    <w:rsid w:val="00B11C73"/>
    <w:rsid w:val="00B11E1D"/>
    <w:rsid w:val="00B12282"/>
    <w:rsid w:val="00B12339"/>
    <w:rsid w:val="00B12B00"/>
    <w:rsid w:val="00B12D31"/>
    <w:rsid w:val="00B12E25"/>
    <w:rsid w:val="00B1343A"/>
    <w:rsid w:val="00B13489"/>
    <w:rsid w:val="00B1348D"/>
    <w:rsid w:val="00B13738"/>
    <w:rsid w:val="00B13AB3"/>
    <w:rsid w:val="00B13D80"/>
    <w:rsid w:val="00B1460B"/>
    <w:rsid w:val="00B147C5"/>
    <w:rsid w:val="00B1502A"/>
    <w:rsid w:val="00B15459"/>
    <w:rsid w:val="00B154E6"/>
    <w:rsid w:val="00B16249"/>
    <w:rsid w:val="00B16C5E"/>
    <w:rsid w:val="00B17079"/>
    <w:rsid w:val="00B17124"/>
    <w:rsid w:val="00B17311"/>
    <w:rsid w:val="00B175EF"/>
    <w:rsid w:val="00B17897"/>
    <w:rsid w:val="00B17BC9"/>
    <w:rsid w:val="00B17CC2"/>
    <w:rsid w:val="00B2009B"/>
    <w:rsid w:val="00B204DA"/>
    <w:rsid w:val="00B20664"/>
    <w:rsid w:val="00B206B3"/>
    <w:rsid w:val="00B2158B"/>
    <w:rsid w:val="00B216CF"/>
    <w:rsid w:val="00B21A1B"/>
    <w:rsid w:val="00B220B7"/>
    <w:rsid w:val="00B22404"/>
    <w:rsid w:val="00B22541"/>
    <w:rsid w:val="00B22851"/>
    <w:rsid w:val="00B22951"/>
    <w:rsid w:val="00B22B91"/>
    <w:rsid w:val="00B22BAD"/>
    <w:rsid w:val="00B22C61"/>
    <w:rsid w:val="00B22CDD"/>
    <w:rsid w:val="00B2366F"/>
    <w:rsid w:val="00B23946"/>
    <w:rsid w:val="00B23966"/>
    <w:rsid w:val="00B23D9A"/>
    <w:rsid w:val="00B23F3F"/>
    <w:rsid w:val="00B24028"/>
    <w:rsid w:val="00B2413E"/>
    <w:rsid w:val="00B242E3"/>
    <w:rsid w:val="00B246A2"/>
    <w:rsid w:val="00B24CF2"/>
    <w:rsid w:val="00B24EC8"/>
    <w:rsid w:val="00B2507A"/>
    <w:rsid w:val="00B250F3"/>
    <w:rsid w:val="00B2530F"/>
    <w:rsid w:val="00B256EE"/>
    <w:rsid w:val="00B25E59"/>
    <w:rsid w:val="00B263CA"/>
    <w:rsid w:val="00B26778"/>
    <w:rsid w:val="00B26D00"/>
    <w:rsid w:val="00B270AD"/>
    <w:rsid w:val="00B27114"/>
    <w:rsid w:val="00B27684"/>
    <w:rsid w:val="00B276F8"/>
    <w:rsid w:val="00B27D97"/>
    <w:rsid w:val="00B27FDD"/>
    <w:rsid w:val="00B30146"/>
    <w:rsid w:val="00B30273"/>
    <w:rsid w:val="00B30A2B"/>
    <w:rsid w:val="00B30F95"/>
    <w:rsid w:val="00B31010"/>
    <w:rsid w:val="00B31561"/>
    <w:rsid w:val="00B31EBF"/>
    <w:rsid w:val="00B31F63"/>
    <w:rsid w:val="00B31FB2"/>
    <w:rsid w:val="00B327AC"/>
    <w:rsid w:val="00B334E6"/>
    <w:rsid w:val="00B33F1D"/>
    <w:rsid w:val="00B3466D"/>
    <w:rsid w:val="00B34D54"/>
    <w:rsid w:val="00B350AE"/>
    <w:rsid w:val="00B35A02"/>
    <w:rsid w:val="00B35AFE"/>
    <w:rsid w:val="00B36493"/>
    <w:rsid w:val="00B36534"/>
    <w:rsid w:val="00B366C9"/>
    <w:rsid w:val="00B36845"/>
    <w:rsid w:val="00B36D49"/>
    <w:rsid w:val="00B36F24"/>
    <w:rsid w:val="00B36F96"/>
    <w:rsid w:val="00B36FF4"/>
    <w:rsid w:val="00B37551"/>
    <w:rsid w:val="00B3778F"/>
    <w:rsid w:val="00B37CC2"/>
    <w:rsid w:val="00B37E41"/>
    <w:rsid w:val="00B37FC0"/>
    <w:rsid w:val="00B40415"/>
    <w:rsid w:val="00B408DC"/>
    <w:rsid w:val="00B40ADA"/>
    <w:rsid w:val="00B40BE5"/>
    <w:rsid w:val="00B40CA1"/>
    <w:rsid w:val="00B40E58"/>
    <w:rsid w:val="00B40F1C"/>
    <w:rsid w:val="00B40FE1"/>
    <w:rsid w:val="00B41A22"/>
    <w:rsid w:val="00B41DB7"/>
    <w:rsid w:val="00B4207B"/>
    <w:rsid w:val="00B421C0"/>
    <w:rsid w:val="00B421DE"/>
    <w:rsid w:val="00B4223F"/>
    <w:rsid w:val="00B422A3"/>
    <w:rsid w:val="00B4239E"/>
    <w:rsid w:val="00B429A7"/>
    <w:rsid w:val="00B42A0B"/>
    <w:rsid w:val="00B42D7F"/>
    <w:rsid w:val="00B433D2"/>
    <w:rsid w:val="00B43454"/>
    <w:rsid w:val="00B43B04"/>
    <w:rsid w:val="00B44764"/>
    <w:rsid w:val="00B4478F"/>
    <w:rsid w:val="00B44FD8"/>
    <w:rsid w:val="00B45160"/>
    <w:rsid w:val="00B452C1"/>
    <w:rsid w:val="00B467A4"/>
    <w:rsid w:val="00B46A28"/>
    <w:rsid w:val="00B46C13"/>
    <w:rsid w:val="00B46CF1"/>
    <w:rsid w:val="00B46E03"/>
    <w:rsid w:val="00B4700A"/>
    <w:rsid w:val="00B47303"/>
    <w:rsid w:val="00B474A2"/>
    <w:rsid w:val="00B47725"/>
    <w:rsid w:val="00B47D84"/>
    <w:rsid w:val="00B50337"/>
    <w:rsid w:val="00B51AA2"/>
    <w:rsid w:val="00B52148"/>
    <w:rsid w:val="00B52239"/>
    <w:rsid w:val="00B527A8"/>
    <w:rsid w:val="00B52A5E"/>
    <w:rsid w:val="00B52B37"/>
    <w:rsid w:val="00B52F4B"/>
    <w:rsid w:val="00B53483"/>
    <w:rsid w:val="00B53543"/>
    <w:rsid w:val="00B545F9"/>
    <w:rsid w:val="00B546FB"/>
    <w:rsid w:val="00B54740"/>
    <w:rsid w:val="00B548E5"/>
    <w:rsid w:val="00B549E5"/>
    <w:rsid w:val="00B554AE"/>
    <w:rsid w:val="00B554C7"/>
    <w:rsid w:val="00B5584F"/>
    <w:rsid w:val="00B5592C"/>
    <w:rsid w:val="00B5653D"/>
    <w:rsid w:val="00B565F3"/>
    <w:rsid w:val="00B567AE"/>
    <w:rsid w:val="00B56AAC"/>
    <w:rsid w:val="00B57251"/>
    <w:rsid w:val="00B574C7"/>
    <w:rsid w:val="00B57625"/>
    <w:rsid w:val="00B60050"/>
    <w:rsid w:val="00B6015E"/>
    <w:rsid w:val="00B60207"/>
    <w:rsid w:val="00B603AE"/>
    <w:rsid w:val="00B60535"/>
    <w:rsid w:val="00B60F8B"/>
    <w:rsid w:val="00B616F1"/>
    <w:rsid w:val="00B61706"/>
    <w:rsid w:val="00B61B6B"/>
    <w:rsid w:val="00B61F51"/>
    <w:rsid w:val="00B61FFC"/>
    <w:rsid w:val="00B62462"/>
    <w:rsid w:val="00B629FB"/>
    <w:rsid w:val="00B62A50"/>
    <w:rsid w:val="00B62AE2"/>
    <w:rsid w:val="00B631BC"/>
    <w:rsid w:val="00B63248"/>
    <w:rsid w:val="00B63291"/>
    <w:rsid w:val="00B632AC"/>
    <w:rsid w:val="00B63A94"/>
    <w:rsid w:val="00B63F9A"/>
    <w:rsid w:val="00B640AA"/>
    <w:rsid w:val="00B64672"/>
    <w:rsid w:val="00B64B2B"/>
    <w:rsid w:val="00B64EC4"/>
    <w:rsid w:val="00B6507B"/>
    <w:rsid w:val="00B65097"/>
    <w:rsid w:val="00B6536F"/>
    <w:rsid w:val="00B65463"/>
    <w:rsid w:val="00B657D1"/>
    <w:rsid w:val="00B659ED"/>
    <w:rsid w:val="00B65A67"/>
    <w:rsid w:val="00B65FED"/>
    <w:rsid w:val="00B665F7"/>
    <w:rsid w:val="00B67B34"/>
    <w:rsid w:val="00B701ED"/>
    <w:rsid w:val="00B7068D"/>
    <w:rsid w:val="00B70D67"/>
    <w:rsid w:val="00B7108E"/>
    <w:rsid w:val="00B71380"/>
    <w:rsid w:val="00B7195B"/>
    <w:rsid w:val="00B71D90"/>
    <w:rsid w:val="00B71E2A"/>
    <w:rsid w:val="00B72451"/>
    <w:rsid w:val="00B7250E"/>
    <w:rsid w:val="00B7254D"/>
    <w:rsid w:val="00B72BDA"/>
    <w:rsid w:val="00B7366A"/>
    <w:rsid w:val="00B7391D"/>
    <w:rsid w:val="00B74163"/>
    <w:rsid w:val="00B74284"/>
    <w:rsid w:val="00B7441A"/>
    <w:rsid w:val="00B7442D"/>
    <w:rsid w:val="00B74CA7"/>
    <w:rsid w:val="00B758AE"/>
    <w:rsid w:val="00B75EC9"/>
    <w:rsid w:val="00B75F3B"/>
    <w:rsid w:val="00B76101"/>
    <w:rsid w:val="00B76295"/>
    <w:rsid w:val="00B76575"/>
    <w:rsid w:val="00B7673E"/>
    <w:rsid w:val="00B76783"/>
    <w:rsid w:val="00B76AEE"/>
    <w:rsid w:val="00B76ECB"/>
    <w:rsid w:val="00B77068"/>
    <w:rsid w:val="00B770F5"/>
    <w:rsid w:val="00B779EC"/>
    <w:rsid w:val="00B8025E"/>
    <w:rsid w:val="00B80488"/>
    <w:rsid w:val="00B8080E"/>
    <w:rsid w:val="00B8084C"/>
    <w:rsid w:val="00B80EC4"/>
    <w:rsid w:val="00B81199"/>
    <w:rsid w:val="00B81313"/>
    <w:rsid w:val="00B813BA"/>
    <w:rsid w:val="00B81436"/>
    <w:rsid w:val="00B81A91"/>
    <w:rsid w:val="00B82066"/>
    <w:rsid w:val="00B825FB"/>
    <w:rsid w:val="00B827B1"/>
    <w:rsid w:val="00B82A3C"/>
    <w:rsid w:val="00B82DA8"/>
    <w:rsid w:val="00B82E14"/>
    <w:rsid w:val="00B82F6B"/>
    <w:rsid w:val="00B847CA"/>
    <w:rsid w:val="00B849CF"/>
    <w:rsid w:val="00B84CEA"/>
    <w:rsid w:val="00B84F79"/>
    <w:rsid w:val="00B8516D"/>
    <w:rsid w:val="00B854BA"/>
    <w:rsid w:val="00B85862"/>
    <w:rsid w:val="00B85C64"/>
    <w:rsid w:val="00B85F0F"/>
    <w:rsid w:val="00B864F6"/>
    <w:rsid w:val="00B86815"/>
    <w:rsid w:val="00B87019"/>
    <w:rsid w:val="00B87A39"/>
    <w:rsid w:val="00B87AE4"/>
    <w:rsid w:val="00B87D3C"/>
    <w:rsid w:val="00B907A3"/>
    <w:rsid w:val="00B908EC"/>
    <w:rsid w:val="00B90A0C"/>
    <w:rsid w:val="00B911F5"/>
    <w:rsid w:val="00B9168F"/>
    <w:rsid w:val="00B91A13"/>
    <w:rsid w:val="00B91B07"/>
    <w:rsid w:val="00B91C8F"/>
    <w:rsid w:val="00B91D10"/>
    <w:rsid w:val="00B91EC0"/>
    <w:rsid w:val="00B92325"/>
    <w:rsid w:val="00B92337"/>
    <w:rsid w:val="00B92B1E"/>
    <w:rsid w:val="00B93576"/>
    <w:rsid w:val="00B9390B"/>
    <w:rsid w:val="00B93B7C"/>
    <w:rsid w:val="00B93BE7"/>
    <w:rsid w:val="00B9403B"/>
    <w:rsid w:val="00B941A0"/>
    <w:rsid w:val="00B942D9"/>
    <w:rsid w:val="00B9467A"/>
    <w:rsid w:val="00B94C8D"/>
    <w:rsid w:val="00B94DEB"/>
    <w:rsid w:val="00B95427"/>
    <w:rsid w:val="00B9556A"/>
    <w:rsid w:val="00B955B4"/>
    <w:rsid w:val="00B957A7"/>
    <w:rsid w:val="00B960E2"/>
    <w:rsid w:val="00B96BB7"/>
    <w:rsid w:val="00B96CE9"/>
    <w:rsid w:val="00B96EAB"/>
    <w:rsid w:val="00B9715D"/>
    <w:rsid w:val="00B974D5"/>
    <w:rsid w:val="00B97B9B"/>
    <w:rsid w:val="00BA02CE"/>
    <w:rsid w:val="00BA08D3"/>
    <w:rsid w:val="00BA0F33"/>
    <w:rsid w:val="00BA11A8"/>
    <w:rsid w:val="00BA14CE"/>
    <w:rsid w:val="00BA198B"/>
    <w:rsid w:val="00BA1CE2"/>
    <w:rsid w:val="00BA2B8A"/>
    <w:rsid w:val="00BA3450"/>
    <w:rsid w:val="00BA3457"/>
    <w:rsid w:val="00BA35D2"/>
    <w:rsid w:val="00BA3604"/>
    <w:rsid w:val="00BA375F"/>
    <w:rsid w:val="00BA3929"/>
    <w:rsid w:val="00BA40F0"/>
    <w:rsid w:val="00BA4157"/>
    <w:rsid w:val="00BA46D4"/>
    <w:rsid w:val="00BA473B"/>
    <w:rsid w:val="00BA48E9"/>
    <w:rsid w:val="00BA4EA4"/>
    <w:rsid w:val="00BA4FDB"/>
    <w:rsid w:val="00BA53FA"/>
    <w:rsid w:val="00BA5B2F"/>
    <w:rsid w:val="00BA5B68"/>
    <w:rsid w:val="00BA5C19"/>
    <w:rsid w:val="00BA6169"/>
    <w:rsid w:val="00BA61C7"/>
    <w:rsid w:val="00BA649F"/>
    <w:rsid w:val="00BA65F3"/>
    <w:rsid w:val="00BA6E03"/>
    <w:rsid w:val="00BA774C"/>
    <w:rsid w:val="00BB0019"/>
    <w:rsid w:val="00BB018C"/>
    <w:rsid w:val="00BB0235"/>
    <w:rsid w:val="00BB034C"/>
    <w:rsid w:val="00BB06DD"/>
    <w:rsid w:val="00BB0A3A"/>
    <w:rsid w:val="00BB17E4"/>
    <w:rsid w:val="00BB1B2F"/>
    <w:rsid w:val="00BB1EC4"/>
    <w:rsid w:val="00BB2874"/>
    <w:rsid w:val="00BB293A"/>
    <w:rsid w:val="00BB2E2F"/>
    <w:rsid w:val="00BB305A"/>
    <w:rsid w:val="00BB312B"/>
    <w:rsid w:val="00BB32C4"/>
    <w:rsid w:val="00BB3CC1"/>
    <w:rsid w:val="00BB459F"/>
    <w:rsid w:val="00BB4607"/>
    <w:rsid w:val="00BB4828"/>
    <w:rsid w:val="00BB4A4E"/>
    <w:rsid w:val="00BB5283"/>
    <w:rsid w:val="00BB52AA"/>
    <w:rsid w:val="00BB590B"/>
    <w:rsid w:val="00BB5E70"/>
    <w:rsid w:val="00BB642F"/>
    <w:rsid w:val="00BB73D1"/>
    <w:rsid w:val="00BB7659"/>
    <w:rsid w:val="00BC0335"/>
    <w:rsid w:val="00BC0442"/>
    <w:rsid w:val="00BC05C6"/>
    <w:rsid w:val="00BC0C67"/>
    <w:rsid w:val="00BC0D42"/>
    <w:rsid w:val="00BC1047"/>
    <w:rsid w:val="00BC14B6"/>
    <w:rsid w:val="00BC1982"/>
    <w:rsid w:val="00BC201B"/>
    <w:rsid w:val="00BC23A4"/>
    <w:rsid w:val="00BC248E"/>
    <w:rsid w:val="00BC25A1"/>
    <w:rsid w:val="00BC2A6D"/>
    <w:rsid w:val="00BC2C6B"/>
    <w:rsid w:val="00BC2DD5"/>
    <w:rsid w:val="00BC327A"/>
    <w:rsid w:val="00BC33D2"/>
    <w:rsid w:val="00BC382B"/>
    <w:rsid w:val="00BC3A19"/>
    <w:rsid w:val="00BC4210"/>
    <w:rsid w:val="00BC494C"/>
    <w:rsid w:val="00BC4B19"/>
    <w:rsid w:val="00BC4B57"/>
    <w:rsid w:val="00BC4CC2"/>
    <w:rsid w:val="00BC5650"/>
    <w:rsid w:val="00BC5802"/>
    <w:rsid w:val="00BC6188"/>
    <w:rsid w:val="00BC6DBC"/>
    <w:rsid w:val="00BC6F9E"/>
    <w:rsid w:val="00BC759E"/>
    <w:rsid w:val="00BC773A"/>
    <w:rsid w:val="00BD0273"/>
    <w:rsid w:val="00BD044C"/>
    <w:rsid w:val="00BD0A1F"/>
    <w:rsid w:val="00BD0EF2"/>
    <w:rsid w:val="00BD13AB"/>
    <w:rsid w:val="00BD149C"/>
    <w:rsid w:val="00BD157B"/>
    <w:rsid w:val="00BD17C1"/>
    <w:rsid w:val="00BD1A18"/>
    <w:rsid w:val="00BD22F5"/>
    <w:rsid w:val="00BD292E"/>
    <w:rsid w:val="00BD2B88"/>
    <w:rsid w:val="00BD30F6"/>
    <w:rsid w:val="00BD328E"/>
    <w:rsid w:val="00BD342E"/>
    <w:rsid w:val="00BD34D1"/>
    <w:rsid w:val="00BD34E2"/>
    <w:rsid w:val="00BD477B"/>
    <w:rsid w:val="00BD4B01"/>
    <w:rsid w:val="00BD55E4"/>
    <w:rsid w:val="00BD5727"/>
    <w:rsid w:val="00BD5870"/>
    <w:rsid w:val="00BD5A9D"/>
    <w:rsid w:val="00BD5D44"/>
    <w:rsid w:val="00BD63E9"/>
    <w:rsid w:val="00BD66A2"/>
    <w:rsid w:val="00BD66E1"/>
    <w:rsid w:val="00BD6B15"/>
    <w:rsid w:val="00BD6BBE"/>
    <w:rsid w:val="00BD6E11"/>
    <w:rsid w:val="00BD6E9A"/>
    <w:rsid w:val="00BD6EE4"/>
    <w:rsid w:val="00BD732F"/>
    <w:rsid w:val="00BD73F2"/>
    <w:rsid w:val="00BD764A"/>
    <w:rsid w:val="00BD790E"/>
    <w:rsid w:val="00BE02C8"/>
    <w:rsid w:val="00BE0432"/>
    <w:rsid w:val="00BE0E60"/>
    <w:rsid w:val="00BE0E98"/>
    <w:rsid w:val="00BE1160"/>
    <w:rsid w:val="00BE1486"/>
    <w:rsid w:val="00BE163F"/>
    <w:rsid w:val="00BE1AC9"/>
    <w:rsid w:val="00BE1BEC"/>
    <w:rsid w:val="00BE20F7"/>
    <w:rsid w:val="00BE2184"/>
    <w:rsid w:val="00BE22A0"/>
    <w:rsid w:val="00BE23CD"/>
    <w:rsid w:val="00BE2655"/>
    <w:rsid w:val="00BE2B94"/>
    <w:rsid w:val="00BE2BE9"/>
    <w:rsid w:val="00BE2E76"/>
    <w:rsid w:val="00BE303F"/>
    <w:rsid w:val="00BE32EC"/>
    <w:rsid w:val="00BE3529"/>
    <w:rsid w:val="00BE3646"/>
    <w:rsid w:val="00BE3D92"/>
    <w:rsid w:val="00BE4193"/>
    <w:rsid w:val="00BE4868"/>
    <w:rsid w:val="00BE4E7B"/>
    <w:rsid w:val="00BE526B"/>
    <w:rsid w:val="00BE5633"/>
    <w:rsid w:val="00BE582B"/>
    <w:rsid w:val="00BE5CD3"/>
    <w:rsid w:val="00BE5D57"/>
    <w:rsid w:val="00BE61EB"/>
    <w:rsid w:val="00BE687D"/>
    <w:rsid w:val="00BE6BF2"/>
    <w:rsid w:val="00BE6F1C"/>
    <w:rsid w:val="00BE7181"/>
    <w:rsid w:val="00BE7477"/>
    <w:rsid w:val="00BE7696"/>
    <w:rsid w:val="00BE799D"/>
    <w:rsid w:val="00BE79B6"/>
    <w:rsid w:val="00BE7A06"/>
    <w:rsid w:val="00BF0322"/>
    <w:rsid w:val="00BF039C"/>
    <w:rsid w:val="00BF0D34"/>
    <w:rsid w:val="00BF0FB7"/>
    <w:rsid w:val="00BF118F"/>
    <w:rsid w:val="00BF134B"/>
    <w:rsid w:val="00BF1566"/>
    <w:rsid w:val="00BF1B07"/>
    <w:rsid w:val="00BF1C5B"/>
    <w:rsid w:val="00BF2237"/>
    <w:rsid w:val="00BF2867"/>
    <w:rsid w:val="00BF32F5"/>
    <w:rsid w:val="00BF3619"/>
    <w:rsid w:val="00BF383B"/>
    <w:rsid w:val="00BF4565"/>
    <w:rsid w:val="00BF4815"/>
    <w:rsid w:val="00BF492A"/>
    <w:rsid w:val="00BF492F"/>
    <w:rsid w:val="00BF4946"/>
    <w:rsid w:val="00BF542C"/>
    <w:rsid w:val="00BF54B2"/>
    <w:rsid w:val="00BF54C2"/>
    <w:rsid w:val="00BF5A5A"/>
    <w:rsid w:val="00BF60EC"/>
    <w:rsid w:val="00BF6193"/>
    <w:rsid w:val="00BF658D"/>
    <w:rsid w:val="00BF659D"/>
    <w:rsid w:val="00BF6867"/>
    <w:rsid w:val="00BF6D20"/>
    <w:rsid w:val="00BF6D75"/>
    <w:rsid w:val="00BF6F7C"/>
    <w:rsid w:val="00BF7155"/>
    <w:rsid w:val="00BF7226"/>
    <w:rsid w:val="00BF7292"/>
    <w:rsid w:val="00BF743C"/>
    <w:rsid w:val="00BF74FE"/>
    <w:rsid w:val="00BF788B"/>
    <w:rsid w:val="00BF7D9D"/>
    <w:rsid w:val="00BF7EAD"/>
    <w:rsid w:val="00C0007C"/>
    <w:rsid w:val="00C00376"/>
    <w:rsid w:val="00C0068D"/>
    <w:rsid w:val="00C006EE"/>
    <w:rsid w:val="00C0093A"/>
    <w:rsid w:val="00C00BFC"/>
    <w:rsid w:val="00C00E47"/>
    <w:rsid w:val="00C00E69"/>
    <w:rsid w:val="00C01523"/>
    <w:rsid w:val="00C016D5"/>
    <w:rsid w:val="00C02A5F"/>
    <w:rsid w:val="00C02C27"/>
    <w:rsid w:val="00C0354B"/>
    <w:rsid w:val="00C03A63"/>
    <w:rsid w:val="00C03B6C"/>
    <w:rsid w:val="00C03E45"/>
    <w:rsid w:val="00C03ED2"/>
    <w:rsid w:val="00C04176"/>
    <w:rsid w:val="00C04808"/>
    <w:rsid w:val="00C04B64"/>
    <w:rsid w:val="00C05067"/>
    <w:rsid w:val="00C0517D"/>
    <w:rsid w:val="00C05462"/>
    <w:rsid w:val="00C060C8"/>
    <w:rsid w:val="00C067B5"/>
    <w:rsid w:val="00C06A0A"/>
    <w:rsid w:val="00C06A5C"/>
    <w:rsid w:val="00C07A16"/>
    <w:rsid w:val="00C1012A"/>
    <w:rsid w:val="00C1053D"/>
    <w:rsid w:val="00C10D24"/>
    <w:rsid w:val="00C10D34"/>
    <w:rsid w:val="00C10E94"/>
    <w:rsid w:val="00C110E1"/>
    <w:rsid w:val="00C112FD"/>
    <w:rsid w:val="00C11453"/>
    <w:rsid w:val="00C1174C"/>
    <w:rsid w:val="00C117E8"/>
    <w:rsid w:val="00C11EA3"/>
    <w:rsid w:val="00C1212B"/>
    <w:rsid w:val="00C12240"/>
    <w:rsid w:val="00C1226C"/>
    <w:rsid w:val="00C133CF"/>
    <w:rsid w:val="00C13461"/>
    <w:rsid w:val="00C13AFE"/>
    <w:rsid w:val="00C1402C"/>
    <w:rsid w:val="00C14181"/>
    <w:rsid w:val="00C149FC"/>
    <w:rsid w:val="00C14B27"/>
    <w:rsid w:val="00C1512F"/>
    <w:rsid w:val="00C15725"/>
    <w:rsid w:val="00C15A3A"/>
    <w:rsid w:val="00C15C42"/>
    <w:rsid w:val="00C1644B"/>
    <w:rsid w:val="00C16548"/>
    <w:rsid w:val="00C1672D"/>
    <w:rsid w:val="00C167C5"/>
    <w:rsid w:val="00C168A7"/>
    <w:rsid w:val="00C16DDC"/>
    <w:rsid w:val="00C1709D"/>
    <w:rsid w:val="00C17180"/>
    <w:rsid w:val="00C17655"/>
    <w:rsid w:val="00C17814"/>
    <w:rsid w:val="00C17882"/>
    <w:rsid w:val="00C179E1"/>
    <w:rsid w:val="00C17A26"/>
    <w:rsid w:val="00C20439"/>
    <w:rsid w:val="00C20869"/>
    <w:rsid w:val="00C21363"/>
    <w:rsid w:val="00C219D9"/>
    <w:rsid w:val="00C21AE4"/>
    <w:rsid w:val="00C21F3D"/>
    <w:rsid w:val="00C221D7"/>
    <w:rsid w:val="00C221F5"/>
    <w:rsid w:val="00C222ED"/>
    <w:rsid w:val="00C22420"/>
    <w:rsid w:val="00C23002"/>
    <w:rsid w:val="00C23545"/>
    <w:rsid w:val="00C2360B"/>
    <w:rsid w:val="00C23623"/>
    <w:rsid w:val="00C2428D"/>
    <w:rsid w:val="00C246EF"/>
    <w:rsid w:val="00C24E85"/>
    <w:rsid w:val="00C2546D"/>
    <w:rsid w:val="00C25B4D"/>
    <w:rsid w:val="00C25D95"/>
    <w:rsid w:val="00C2616C"/>
    <w:rsid w:val="00C2673A"/>
    <w:rsid w:val="00C267D3"/>
    <w:rsid w:val="00C26A5A"/>
    <w:rsid w:val="00C27739"/>
    <w:rsid w:val="00C304A9"/>
    <w:rsid w:val="00C30636"/>
    <w:rsid w:val="00C30AE1"/>
    <w:rsid w:val="00C30DBA"/>
    <w:rsid w:val="00C312B1"/>
    <w:rsid w:val="00C3214A"/>
    <w:rsid w:val="00C32997"/>
    <w:rsid w:val="00C32E23"/>
    <w:rsid w:val="00C32F47"/>
    <w:rsid w:val="00C32F99"/>
    <w:rsid w:val="00C3303A"/>
    <w:rsid w:val="00C342F4"/>
    <w:rsid w:val="00C3473E"/>
    <w:rsid w:val="00C34ACC"/>
    <w:rsid w:val="00C34B10"/>
    <w:rsid w:val="00C34BE8"/>
    <w:rsid w:val="00C34C31"/>
    <w:rsid w:val="00C355E4"/>
    <w:rsid w:val="00C35725"/>
    <w:rsid w:val="00C3575B"/>
    <w:rsid w:val="00C35E71"/>
    <w:rsid w:val="00C36026"/>
    <w:rsid w:val="00C368FD"/>
    <w:rsid w:val="00C36963"/>
    <w:rsid w:val="00C36B67"/>
    <w:rsid w:val="00C372CE"/>
    <w:rsid w:val="00C37393"/>
    <w:rsid w:val="00C37519"/>
    <w:rsid w:val="00C37ECF"/>
    <w:rsid w:val="00C40845"/>
    <w:rsid w:val="00C40951"/>
    <w:rsid w:val="00C416F1"/>
    <w:rsid w:val="00C41FA3"/>
    <w:rsid w:val="00C42162"/>
    <w:rsid w:val="00C42230"/>
    <w:rsid w:val="00C4227F"/>
    <w:rsid w:val="00C425A2"/>
    <w:rsid w:val="00C42E99"/>
    <w:rsid w:val="00C42F09"/>
    <w:rsid w:val="00C43133"/>
    <w:rsid w:val="00C434B7"/>
    <w:rsid w:val="00C437BE"/>
    <w:rsid w:val="00C43EF6"/>
    <w:rsid w:val="00C43F02"/>
    <w:rsid w:val="00C44472"/>
    <w:rsid w:val="00C449A4"/>
    <w:rsid w:val="00C44D46"/>
    <w:rsid w:val="00C44FE3"/>
    <w:rsid w:val="00C451BB"/>
    <w:rsid w:val="00C4569C"/>
    <w:rsid w:val="00C45867"/>
    <w:rsid w:val="00C458F0"/>
    <w:rsid w:val="00C458F6"/>
    <w:rsid w:val="00C4621E"/>
    <w:rsid w:val="00C4640B"/>
    <w:rsid w:val="00C46485"/>
    <w:rsid w:val="00C46879"/>
    <w:rsid w:val="00C472C2"/>
    <w:rsid w:val="00C47525"/>
    <w:rsid w:val="00C47E1D"/>
    <w:rsid w:val="00C47E63"/>
    <w:rsid w:val="00C50260"/>
    <w:rsid w:val="00C5026F"/>
    <w:rsid w:val="00C50391"/>
    <w:rsid w:val="00C50675"/>
    <w:rsid w:val="00C506C5"/>
    <w:rsid w:val="00C50C84"/>
    <w:rsid w:val="00C50DF9"/>
    <w:rsid w:val="00C5108B"/>
    <w:rsid w:val="00C51186"/>
    <w:rsid w:val="00C51365"/>
    <w:rsid w:val="00C5148C"/>
    <w:rsid w:val="00C51665"/>
    <w:rsid w:val="00C51A1F"/>
    <w:rsid w:val="00C51AEC"/>
    <w:rsid w:val="00C51B5F"/>
    <w:rsid w:val="00C51C20"/>
    <w:rsid w:val="00C522D9"/>
    <w:rsid w:val="00C522E7"/>
    <w:rsid w:val="00C52EB0"/>
    <w:rsid w:val="00C534D6"/>
    <w:rsid w:val="00C53655"/>
    <w:rsid w:val="00C53F25"/>
    <w:rsid w:val="00C542FC"/>
    <w:rsid w:val="00C544AB"/>
    <w:rsid w:val="00C5467E"/>
    <w:rsid w:val="00C54D14"/>
    <w:rsid w:val="00C54EF8"/>
    <w:rsid w:val="00C55603"/>
    <w:rsid w:val="00C55A82"/>
    <w:rsid w:val="00C55C26"/>
    <w:rsid w:val="00C55D30"/>
    <w:rsid w:val="00C563B2"/>
    <w:rsid w:val="00C56D02"/>
    <w:rsid w:val="00C574C4"/>
    <w:rsid w:val="00C57885"/>
    <w:rsid w:val="00C60452"/>
    <w:rsid w:val="00C607E9"/>
    <w:rsid w:val="00C61062"/>
    <w:rsid w:val="00C61954"/>
    <w:rsid w:val="00C61FB4"/>
    <w:rsid w:val="00C62030"/>
    <w:rsid w:val="00C62999"/>
    <w:rsid w:val="00C62BAC"/>
    <w:rsid w:val="00C62FCC"/>
    <w:rsid w:val="00C6324C"/>
    <w:rsid w:val="00C6374B"/>
    <w:rsid w:val="00C643FC"/>
    <w:rsid w:val="00C64762"/>
    <w:rsid w:val="00C64BEE"/>
    <w:rsid w:val="00C64F85"/>
    <w:rsid w:val="00C65091"/>
    <w:rsid w:val="00C6512C"/>
    <w:rsid w:val="00C6604A"/>
    <w:rsid w:val="00C662B9"/>
    <w:rsid w:val="00C66399"/>
    <w:rsid w:val="00C665DF"/>
    <w:rsid w:val="00C666C6"/>
    <w:rsid w:val="00C66E88"/>
    <w:rsid w:val="00C673F7"/>
    <w:rsid w:val="00C6760F"/>
    <w:rsid w:val="00C67720"/>
    <w:rsid w:val="00C6786B"/>
    <w:rsid w:val="00C67A12"/>
    <w:rsid w:val="00C67D12"/>
    <w:rsid w:val="00C700C2"/>
    <w:rsid w:val="00C70272"/>
    <w:rsid w:val="00C70466"/>
    <w:rsid w:val="00C7095F"/>
    <w:rsid w:val="00C70CDA"/>
    <w:rsid w:val="00C70D77"/>
    <w:rsid w:val="00C7108C"/>
    <w:rsid w:val="00C71236"/>
    <w:rsid w:val="00C71343"/>
    <w:rsid w:val="00C713AA"/>
    <w:rsid w:val="00C713CD"/>
    <w:rsid w:val="00C7148E"/>
    <w:rsid w:val="00C7185A"/>
    <w:rsid w:val="00C71DC5"/>
    <w:rsid w:val="00C71F34"/>
    <w:rsid w:val="00C72330"/>
    <w:rsid w:val="00C72FF5"/>
    <w:rsid w:val="00C730C9"/>
    <w:rsid w:val="00C738E0"/>
    <w:rsid w:val="00C7397A"/>
    <w:rsid w:val="00C73F3C"/>
    <w:rsid w:val="00C74659"/>
    <w:rsid w:val="00C75144"/>
    <w:rsid w:val="00C75535"/>
    <w:rsid w:val="00C7592D"/>
    <w:rsid w:val="00C762E2"/>
    <w:rsid w:val="00C77139"/>
    <w:rsid w:val="00C77166"/>
    <w:rsid w:val="00C773F3"/>
    <w:rsid w:val="00C779D6"/>
    <w:rsid w:val="00C80034"/>
    <w:rsid w:val="00C801FA"/>
    <w:rsid w:val="00C80293"/>
    <w:rsid w:val="00C80EBC"/>
    <w:rsid w:val="00C81267"/>
    <w:rsid w:val="00C813A4"/>
    <w:rsid w:val="00C8168A"/>
    <w:rsid w:val="00C819BC"/>
    <w:rsid w:val="00C81A59"/>
    <w:rsid w:val="00C81ED1"/>
    <w:rsid w:val="00C8209D"/>
    <w:rsid w:val="00C8248E"/>
    <w:rsid w:val="00C828A0"/>
    <w:rsid w:val="00C82B34"/>
    <w:rsid w:val="00C82D4F"/>
    <w:rsid w:val="00C8305E"/>
    <w:rsid w:val="00C832E1"/>
    <w:rsid w:val="00C83CB2"/>
    <w:rsid w:val="00C83E7E"/>
    <w:rsid w:val="00C83FE8"/>
    <w:rsid w:val="00C84194"/>
    <w:rsid w:val="00C847B2"/>
    <w:rsid w:val="00C84E9E"/>
    <w:rsid w:val="00C85967"/>
    <w:rsid w:val="00C859A4"/>
    <w:rsid w:val="00C85C10"/>
    <w:rsid w:val="00C85F21"/>
    <w:rsid w:val="00C85FE8"/>
    <w:rsid w:val="00C863CF"/>
    <w:rsid w:val="00C866E3"/>
    <w:rsid w:val="00C86783"/>
    <w:rsid w:val="00C86877"/>
    <w:rsid w:val="00C86A3C"/>
    <w:rsid w:val="00C86AFE"/>
    <w:rsid w:val="00C86B32"/>
    <w:rsid w:val="00C86CD4"/>
    <w:rsid w:val="00C86E59"/>
    <w:rsid w:val="00C86EAE"/>
    <w:rsid w:val="00C86EF4"/>
    <w:rsid w:val="00C872E2"/>
    <w:rsid w:val="00C873FF"/>
    <w:rsid w:val="00C8744F"/>
    <w:rsid w:val="00C87569"/>
    <w:rsid w:val="00C8776F"/>
    <w:rsid w:val="00C87CA4"/>
    <w:rsid w:val="00C90190"/>
    <w:rsid w:val="00C90439"/>
    <w:rsid w:val="00C90C40"/>
    <w:rsid w:val="00C90E20"/>
    <w:rsid w:val="00C91527"/>
    <w:rsid w:val="00C91A38"/>
    <w:rsid w:val="00C91BD2"/>
    <w:rsid w:val="00C91FA9"/>
    <w:rsid w:val="00C926E1"/>
    <w:rsid w:val="00C92722"/>
    <w:rsid w:val="00C927E8"/>
    <w:rsid w:val="00C92AEA"/>
    <w:rsid w:val="00C92C18"/>
    <w:rsid w:val="00C9339B"/>
    <w:rsid w:val="00C933AF"/>
    <w:rsid w:val="00C93417"/>
    <w:rsid w:val="00C94562"/>
    <w:rsid w:val="00C94654"/>
    <w:rsid w:val="00C946B2"/>
    <w:rsid w:val="00C95314"/>
    <w:rsid w:val="00C9553B"/>
    <w:rsid w:val="00C95F6B"/>
    <w:rsid w:val="00C965FF"/>
    <w:rsid w:val="00C96D95"/>
    <w:rsid w:val="00C96F94"/>
    <w:rsid w:val="00C972A1"/>
    <w:rsid w:val="00C97850"/>
    <w:rsid w:val="00C97AF2"/>
    <w:rsid w:val="00CA0E49"/>
    <w:rsid w:val="00CA110B"/>
    <w:rsid w:val="00CA1818"/>
    <w:rsid w:val="00CA28E7"/>
    <w:rsid w:val="00CA2CF9"/>
    <w:rsid w:val="00CA2E5F"/>
    <w:rsid w:val="00CA3265"/>
    <w:rsid w:val="00CA329A"/>
    <w:rsid w:val="00CA3736"/>
    <w:rsid w:val="00CA3C1B"/>
    <w:rsid w:val="00CA445C"/>
    <w:rsid w:val="00CA45CB"/>
    <w:rsid w:val="00CA45F8"/>
    <w:rsid w:val="00CA4E21"/>
    <w:rsid w:val="00CA4E97"/>
    <w:rsid w:val="00CA4EDE"/>
    <w:rsid w:val="00CA4FDC"/>
    <w:rsid w:val="00CA5040"/>
    <w:rsid w:val="00CA5146"/>
    <w:rsid w:val="00CA56BD"/>
    <w:rsid w:val="00CA5911"/>
    <w:rsid w:val="00CA5F22"/>
    <w:rsid w:val="00CA6270"/>
    <w:rsid w:val="00CA668C"/>
    <w:rsid w:val="00CA6932"/>
    <w:rsid w:val="00CA73D1"/>
    <w:rsid w:val="00CA794D"/>
    <w:rsid w:val="00CA7C3E"/>
    <w:rsid w:val="00CB01CF"/>
    <w:rsid w:val="00CB0A41"/>
    <w:rsid w:val="00CB0DE7"/>
    <w:rsid w:val="00CB0E92"/>
    <w:rsid w:val="00CB0F68"/>
    <w:rsid w:val="00CB1268"/>
    <w:rsid w:val="00CB19B9"/>
    <w:rsid w:val="00CB1DCB"/>
    <w:rsid w:val="00CB1DE6"/>
    <w:rsid w:val="00CB1EA5"/>
    <w:rsid w:val="00CB1ED7"/>
    <w:rsid w:val="00CB1FD5"/>
    <w:rsid w:val="00CB2388"/>
    <w:rsid w:val="00CB2C36"/>
    <w:rsid w:val="00CB3959"/>
    <w:rsid w:val="00CB3B32"/>
    <w:rsid w:val="00CB41D1"/>
    <w:rsid w:val="00CB4250"/>
    <w:rsid w:val="00CB4C37"/>
    <w:rsid w:val="00CB4FAD"/>
    <w:rsid w:val="00CB53F5"/>
    <w:rsid w:val="00CB54D1"/>
    <w:rsid w:val="00CB5A25"/>
    <w:rsid w:val="00CB5BA8"/>
    <w:rsid w:val="00CB5CF5"/>
    <w:rsid w:val="00CB6333"/>
    <w:rsid w:val="00CB63F1"/>
    <w:rsid w:val="00CB63F5"/>
    <w:rsid w:val="00CB6891"/>
    <w:rsid w:val="00CB68DA"/>
    <w:rsid w:val="00CB6D63"/>
    <w:rsid w:val="00CB6DC9"/>
    <w:rsid w:val="00CB7462"/>
    <w:rsid w:val="00CB76E0"/>
    <w:rsid w:val="00CB78C5"/>
    <w:rsid w:val="00CC0504"/>
    <w:rsid w:val="00CC07F0"/>
    <w:rsid w:val="00CC0B3C"/>
    <w:rsid w:val="00CC0D8B"/>
    <w:rsid w:val="00CC171A"/>
    <w:rsid w:val="00CC197D"/>
    <w:rsid w:val="00CC1C13"/>
    <w:rsid w:val="00CC1CED"/>
    <w:rsid w:val="00CC20BB"/>
    <w:rsid w:val="00CC2426"/>
    <w:rsid w:val="00CC2919"/>
    <w:rsid w:val="00CC2C0C"/>
    <w:rsid w:val="00CC2CE7"/>
    <w:rsid w:val="00CC2D31"/>
    <w:rsid w:val="00CC3359"/>
    <w:rsid w:val="00CC34DE"/>
    <w:rsid w:val="00CC35F4"/>
    <w:rsid w:val="00CC36FB"/>
    <w:rsid w:val="00CC387D"/>
    <w:rsid w:val="00CC39FC"/>
    <w:rsid w:val="00CC514B"/>
    <w:rsid w:val="00CC51BD"/>
    <w:rsid w:val="00CC523D"/>
    <w:rsid w:val="00CC5432"/>
    <w:rsid w:val="00CC56CE"/>
    <w:rsid w:val="00CC595C"/>
    <w:rsid w:val="00CC5D25"/>
    <w:rsid w:val="00CC61BB"/>
    <w:rsid w:val="00CC61C6"/>
    <w:rsid w:val="00CC634A"/>
    <w:rsid w:val="00CC660E"/>
    <w:rsid w:val="00CC66D1"/>
    <w:rsid w:val="00CC71BF"/>
    <w:rsid w:val="00CC7254"/>
    <w:rsid w:val="00CC78D4"/>
    <w:rsid w:val="00CC7E26"/>
    <w:rsid w:val="00CD05B8"/>
    <w:rsid w:val="00CD0752"/>
    <w:rsid w:val="00CD0A6B"/>
    <w:rsid w:val="00CD0A9B"/>
    <w:rsid w:val="00CD1F6B"/>
    <w:rsid w:val="00CD2EFD"/>
    <w:rsid w:val="00CD335E"/>
    <w:rsid w:val="00CD3A96"/>
    <w:rsid w:val="00CD3BC5"/>
    <w:rsid w:val="00CD3C03"/>
    <w:rsid w:val="00CD3F09"/>
    <w:rsid w:val="00CD421D"/>
    <w:rsid w:val="00CD44E5"/>
    <w:rsid w:val="00CD4935"/>
    <w:rsid w:val="00CD4B80"/>
    <w:rsid w:val="00CD4CBA"/>
    <w:rsid w:val="00CD4E17"/>
    <w:rsid w:val="00CD522B"/>
    <w:rsid w:val="00CD53C3"/>
    <w:rsid w:val="00CD5776"/>
    <w:rsid w:val="00CD5883"/>
    <w:rsid w:val="00CD5B33"/>
    <w:rsid w:val="00CD5C07"/>
    <w:rsid w:val="00CD633A"/>
    <w:rsid w:val="00CD6C86"/>
    <w:rsid w:val="00CD7276"/>
    <w:rsid w:val="00CD7678"/>
    <w:rsid w:val="00CD7756"/>
    <w:rsid w:val="00CD7BB4"/>
    <w:rsid w:val="00CD7FB2"/>
    <w:rsid w:val="00CE0208"/>
    <w:rsid w:val="00CE0562"/>
    <w:rsid w:val="00CE06CB"/>
    <w:rsid w:val="00CE06EF"/>
    <w:rsid w:val="00CE0E01"/>
    <w:rsid w:val="00CE0E53"/>
    <w:rsid w:val="00CE106F"/>
    <w:rsid w:val="00CE1088"/>
    <w:rsid w:val="00CE120E"/>
    <w:rsid w:val="00CE1550"/>
    <w:rsid w:val="00CE1EBE"/>
    <w:rsid w:val="00CE1F18"/>
    <w:rsid w:val="00CE20C3"/>
    <w:rsid w:val="00CE219F"/>
    <w:rsid w:val="00CE2495"/>
    <w:rsid w:val="00CE24B0"/>
    <w:rsid w:val="00CE2965"/>
    <w:rsid w:val="00CE29EA"/>
    <w:rsid w:val="00CE2D01"/>
    <w:rsid w:val="00CE2D94"/>
    <w:rsid w:val="00CE2E44"/>
    <w:rsid w:val="00CE3033"/>
    <w:rsid w:val="00CE37BA"/>
    <w:rsid w:val="00CE39A6"/>
    <w:rsid w:val="00CE3CEF"/>
    <w:rsid w:val="00CE3F67"/>
    <w:rsid w:val="00CE4226"/>
    <w:rsid w:val="00CE43DD"/>
    <w:rsid w:val="00CE453D"/>
    <w:rsid w:val="00CE4679"/>
    <w:rsid w:val="00CE4937"/>
    <w:rsid w:val="00CE4EB6"/>
    <w:rsid w:val="00CE54F9"/>
    <w:rsid w:val="00CE58C6"/>
    <w:rsid w:val="00CE58D0"/>
    <w:rsid w:val="00CE5C03"/>
    <w:rsid w:val="00CE5EEB"/>
    <w:rsid w:val="00CE5EFB"/>
    <w:rsid w:val="00CE6713"/>
    <w:rsid w:val="00CE6EBE"/>
    <w:rsid w:val="00CE73CE"/>
    <w:rsid w:val="00CE7507"/>
    <w:rsid w:val="00CE763B"/>
    <w:rsid w:val="00CE789A"/>
    <w:rsid w:val="00CE7B12"/>
    <w:rsid w:val="00CF0965"/>
    <w:rsid w:val="00CF0BC8"/>
    <w:rsid w:val="00CF0E04"/>
    <w:rsid w:val="00CF18E1"/>
    <w:rsid w:val="00CF1BC6"/>
    <w:rsid w:val="00CF1E62"/>
    <w:rsid w:val="00CF2110"/>
    <w:rsid w:val="00CF2172"/>
    <w:rsid w:val="00CF32C1"/>
    <w:rsid w:val="00CF37E0"/>
    <w:rsid w:val="00CF3C60"/>
    <w:rsid w:val="00CF3C8A"/>
    <w:rsid w:val="00CF3F95"/>
    <w:rsid w:val="00CF4196"/>
    <w:rsid w:val="00CF4202"/>
    <w:rsid w:val="00CF4295"/>
    <w:rsid w:val="00CF4376"/>
    <w:rsid w:val="00CF494F"/>
    <w:rsid w:val="00CF56A2"/>
    <w:rsid w:val="00CF5746"/>
    <w:rsid w:val="00CF592E"/>
    <w:rsid w:val="00CF597D"/>
    <w:rsid w:val="00CF64F1"/>
    <w:rsid w:val="00CF6D16"/>
    <w:rsid w:val="00CF6F21"/>
    <w:rsid w:val="00CF791A"/>
    <w:rsid w:val="00CF7A84"/>
    <w:rsid w:val="00CF7AE2"/>
    <w:rsid w:val="00CF7D4F"/>
    <w:rsid w:val="00CF7F59"/>
    <w:rsid w:val="00D0022F"/>
    <w:rsid w:val="00D00477"/>
    <w:rsid w:val="00D00BEF"/>
    <w:rsid w:val="00D00F29"/>
    <w:rsid w:val="00D01175"/>
    <w:rsid w:val="00D0156E"/>
    <w:rsid w:val="00D017D5"/>
    <w:rsid w:val="00D018CA"/>
    <w:rsid w:val="00D02027"/>
    <w:rsid w:val="00D02432"/>
    <w:rsid w:val="00D02746"/>
    <w:rsid w:val="00D0287E"/>
    <w:rsid w:val="00D02A9A"/>
    <w:rsid w:val="00D02BB3"/>
    <w:rsid w:val="00D02CB1"/>
    <w:rsid w:val="00D02CDC"/>
    <w:rsid w:val="00D02F00"/>
    <w:rsid w:val="00D02F53"/>
    <w:rsid w:val="00D0335C"/>
    <w:rsid w:val="00D0362F"/>
    <w:rsid w:val="00D03F82"/>
    <w:rsid w:val="00D0444F"/>
    <w:rsid w:val="00D044AE"/>
    <w:rsid w:val="00D04653"/>
    <w:rsid w:val="00D04AE1"/>
    <w:rsid w:val="00D04E43"/>
    <w:rsid w:val="00D04FB5"/>
    <w:rsid w:val="00D053E3"/>
    <w:rsid w:val="00D05624"/>
    <w:rsid w:val="00D05CC9"/>
    <w:rsid w:val="00D05D96"/>
    <w:rsid w:val="00D060BD"/>
    <w:rsid w:val="00D06B5E"/>
    <w:rsid w:val="00D0727A"/>
    <w:rsid w:val="00D07523"/>
    <w:rsid w:val="00D07A3B"/>
    <w:rsid w:val="00D07CE7"/>
    <w:rsid w:val="00D07D8D"/>
    <w:rsid w:val="00D10171"/>
    <w:rsid w:val="00D10A0F"/>
    <w:rsid w:val="00D10C3C"/>
    <w:rsid w:val="00D110CE"/>
    <w:rsid w:val="00D110EF"/>
    <w:rsid w:val="00D111B1"/>
    <w:rsid w:val="00D11316"/>
    <w:rsid w:val="00D11678"/>
    <w:rsid w:val="00D1175C"/>
    <w:rsid w:val="00D1193E"/>
    <w:rsid w:val="00D119FD"/>
    <w:rsid w:val="00D11D51"/>
    <w:rsid w:val="00D11EA1"/>
    <w:rsid w:val="00D11FF4"/>
    <w:rsid w:val="00D12424"/>
    <w:rsid w:val="00D12DF8"/>
    <w:rsid w:val="00D12E8A"/>
    <w:rsid w:val="00D12EDF"/>
    <w:rsid w:val="00D13014"/>
    <w:rsid w:val="00D13417"/>
    <w:rsid w:val="00D137E6"/>
    <w:rsid w:val="00D1384D"/>
    <w:rsid w:val="00D13CBC"/>
    <w:rsid w:val="00D13D8F"/>
    <w:rsid w:val="00D13DB6"/>
    <w:rsid w:val="00D13DF8"/>
    <w:rsid w:val="00D14205"/>
    <w:rsid w:val="00D14305"/>
    <w:rsid w:val="00D1432E"/>
    <w:rsid w:val="00D14803"/>
    <w:rsid w:val="00D1494A"/>
    <w:rsid w:val="00D14AB2"/>
    <w:rsid w:val="00D14E92"/>
    <w:rsid w:val="00D14F4B"/>
    <w:rsid w:val="00D14FF0"/>
    <w:rsid w:val="00D15B38"/>
    <w:rsid w:val="00D163FA"/>
    <w:rsid w:val="00D172E0"/>
    <w:rsid w:val="00D1771F"/>
    <w:rsid w:val="00D1795B"/>
    <w:rsid w:val="00D17A38"/>
    <w:rsid w:val="00D17B49"/>
    <w:rsid w:val="00D207B8"/>
    <w:rsid w:val="00D20DCF"/>
    <w:rsid w:val="00D20FFC"/>
    <w:rsid w:val="00D21623"/>
    <w:rsid w:val="00D21784"/>
    <w:rsid w:val="00D21F11"/>
    <w:rsid w:val="00D21F25"/>
    <w:rsid w:val="00D21F7C"/>
    <w:rsid w:val="00D22740"/>
    <w:rsid w:val="00D22AB8"/>
    <w:rsid w:val="00D22B42"/>
    <w:rsid w:val="00D23602"/>
    <w:rsid w:val="00D236D0"/>
    <w:rsid w:val="00D248EE"/>
    <w:rsid w:val="00D24F08"/>
    <w:rsid w:val="00D255AD"/>
    <w:rsid w:val="00D2580C"/>
    <w:rsid w:val="00D25A4B"/>
    <w:rsid w:val="00D25B06"/>
    <w:rsid w:val="00D261E5"/>
    <w:rsid w:val="00D26587"/>
    <w:rsid w:val="00D26E63"/>
    <w:rsid w:val="00D26E8D"/>
    <w:rsid w:val="00D27848"/>
    <w:rsid w:val="00D27E89"/>
    <w:rsid w:val="00D30073"/>
    <w:rsid w:val="00D3014F"/>
    <w:rsid w:val="00D30242"/>
    <w:rsid w:val="00D30292"/>
    <w:rsid w:val="00D30617"/>
    <w:rsid w:val="00D30787"/>
    <w:rsid w:val="00D31071"/>
    <w:rsid w:val="00D31748"/>
    <w:rsid w:val="00D31780"/>
    <w:rsid w:val="00D31A5D"/>
    <w:rsid w:val="00D31B16"/>
    <w:rsid w:val="00D31C10"/>
    <w:rsid w:val="00D31CAF"/>
    <w:rsid w:val="00D3229C"/>
    <w:rsid w:val="00D324E1"/>
    <w:rsid w:val="00D32796"/>
    <w:rsid w:val="00D32CF9"/>
    <w:rsid w:val="00D32EAF"/>
    <w:rsid w:val="00D32F03"/>
    <w:rsid w:val="00D32F2C"/>
    <w:rsid w:val="00D32F52"/>
    <w:rsid w:val="00D331D7"/>
    <w:rsid w:val="00D332D5"/>
    <w:rsid w:val="00D336FC"/>
    <w:rsid w:val="00D33ACF"/>
    <w:rsid w:val="00D33AF7"/>
    <w:rsid w:val="00D33DED"/>
    <w:rsid w:val="00D34066"/>
    <w:rsid w:val="00D3436B"/>
    <w:rsid w:val="00D34A46"/>
    <w:rsid w:val="00D34D37"/>
    <w:rsid w:val="00D34D69"/>
    <w:rsid w:val="00D35231"/>
    <w:rsid w:val="00D353A8"/>
    <w:rsid w:val="00D356D5"/>
    <w:rsid w:val="00D35A8B"/>
    <w:rsid w:val="00D36204"/>
    <w:rsid w:val="00D36469"/>
    <w:rsid w:val="00D365ED"/>
    <w:rsid w:val="00D36E7F"/>
    <w:rsid w:val="00D370A6"/>
    <w:rsid w:val="00D37612"/>
    <w:rsid w:val="00D3784D"/>
    <w:rsid w:val="00D37DA3"/>
    <w:rsid w:val="00D401DC"/>
    <w:rsid w:val="00D40A05"/>
    <w:rsid w:val="00D40AA3"/>
    <w:rsid w:val="00D40DA4"/>
    <w:rsid w:val="00D40EB7"/>
    <w:rsid w:val="00D40F5F"/>
    <w:rsid w:val="00D41284"/>
    <w:rsid w:val="00D4150D"/>
    <w:rsid w:val="00D41BBD"/>
    <w:rsid w:val="00D41D45"/>
    <w:rsid w:val="00D41EC5"/>
    <w:rsid w:val="00D4202E"/>
    <w:rsid w:val="00D42245"/>
    <w:rsid w:val="00D42971"/>
    <w:rsid w:val="00D4347B"/>
    <w:rsid w:val="00D43786"/>
    <w:rsid w:val="00D438B0"/>
    <w:rsid w:val="00D43A99"/>
    <w:rsid w:val="00D43CA8"/>
    <w:rsid w:val="00D441DD"/>
    <w:rsid w:val="00D4425C"/>
    <w:rsid w:val="00D4458C"/>
    <w:rsid w:val="00D4474C"/>
    <w:rsid w:val="00D44EC8"/>
    <w:rsid w:val="00D44EE9"/>
    <w:rsid w:val="00D4502B"/>
    <w:rsid w:val="00D45070"/>
    <w:rsid w:val="00D452C8"/>
    <w:rsid w:val="00D45725"/>
    <w:rsid w:val="00D45AF6"/>
    <w:rsid w:val="00D45CE4"/>
    <w:rsid w:val="00D45CF5"/>
    <w:rsid w:val="00D46270"/>
    <w:rsid w:val="00D46CC8"/>
    <w:rsid w:val="00D46E13"/>
    <w:rsid w:val="00D47195"/>
    <w:rsid w:val="00D4746B"/>
    <w:rsid w:val="00D47797"/>
    <w:rsid w:val="00D479EE"/>
    <w:rsid w:val="00D47C2F"/>
    <w:rsid w:val="00D50479"/>
    <w:rsid w:val="00D508AD"/>
    <w:rsid w:val="00D512C7"/>
    <w:rsid w:val="00D5198C"/>
    <w:rsid w:val="00D51EB4"/>
    <w:rsid w:val="00D5299E"/>
    <w:rsid w:val="00D53348"/>
    <w:rsid w:val="00D5346D"/>
    <w:rsid w:val="00D53509"/>
    <w:rsid w:val="00D53A15"/>
    <w:rsid w:val="00D53CD9"/>
    <w:rsid w:val="00D53E9B"/>
    <w:rsid w:val="00D540E2"/>
    <w:rsid w:val="00D54753"/>
    <w:rsid w:val="00D548BE"/>
    <w:rsid w:val="00D54943"/>
    <w:rsid w:val="00D54B2C"/>
    <w:rsid w:val="00D54B9E"/>
    <w:rsid w:val="00D54F32"/>
    <w:rsid w:val="00D55955"/>
    <w:rsid w:val="00D55F70"/>
    <w:rsid w:val="00D564F2"/>
    <w:rsid w:val="00D56731"/>
    <w:rsid w:val="00D56736"/>
    <w:rsid w:val="00D570F5"/>
    <w:rsid w:val="00D5731B"/>
    <w:rsid w:val="00D5735C"/>
    <w:rsid w:val="00D57411"/>
    <w:rsid w:val="00D578ED"/>
    <w:rsid w:val="00D5795A"/>
    <w:rsid w:val="00D57F5D"/>
    <w:rsid w:val="00D60149"/>
    <w:rsid w:val="00D604DC"/>
    <w:rsid w:val="00D60791"/>
    <w:rsid w:val="00D607CC"/>
    <w:rsid w:val="00D60BC5"/>
    <w:rsid w:val="00D60C04"/>
    <w:rsid w:val="00D60C17"/>
    <w:rsid w:val="00D61402"/>
    <w:rsid w:val="00D6247C"/>
    <w:rsid w:val="00D625F8"/>
    <w:rsid w:val="00D6272C"/>
    <w:rsid w:val="00D631A3"/>
    <w:rsid w:val="00D63446"/>
    <w:rsid w:val="00D6369E"/>
    <w:rsid w:val="00D6373A"/>
    <w:rsid w:val="00D63AC2"/>
    <w:rsid w:val="00D63C8D"/>
    <w:rsid w:val="00D64591"/>
    <w:rsid w:val="00D648DF"/>
    <w:rsid w:val="00D64AA4"/>
    <w:rsid w:val="00D64AB9"/>
    <w:rsid w:val="00D64C98"/>
    <w:rsid w:val="00D64D34"/>
    <w:rsid w:val="00D6507F"/>
    <w:rsid w:val="00D65081"/>
    <w:rsid w:val="00D6530B"/>
    <w:rsid w:val="00D65D25"/>
    <w:rsid w:val="00D65E3A"/>
    <w:rsid w:val="00D66079"/>
    <w:rsid w:val="00D6640A"/>
    <w:rsid w:val="00D66607"/>
    <w:rsid w:val="00D66B56"/>
    <w:rsid w:val="00D66BB8"/>
    <w:rsid w:val="00D6708B"/>
    <w:rsid w:val="00D677A8"/>
    <w:rsid w:val="00D67DF5"/>
    <w:rsid w:val="00D70758"/>
    <w:rsid w:val="00D708B7"/>
    <w:rsid w:val="00D70B65"/>
    <w:rsid w:val="00D70D8B"/>
    <w:rsid w:val="00D711D3"/>
    <w:rsid w:val="00D7123C"/>
    <w:rsid w:val="00D71389"/>
    <w:rsid w:val="00D71456"/>
    <w:rsid w:val="00D7179F"/>
    <w:rsid w:val="00D7189D"/>
    <w:rsid w:val="00D7199C"/>
    <w:rsid w:val="00D71C4E"/>
    <w:rsid w:val="00D723FB"/>
    <w:rsid w:val="00D726A5"/>
    <w:rsid w:val="00D72F22"/>
    <w:rsid w:val="00D73B90"/>
    <w:rsid w:val="00D73D96"/>
    <w:rsid w:val="00D73ED6"/>
    <w:rsid w:val="00D74247"/>
    <w:rsid w:val="00D743B7"/>
    <w:rsid w:val="00D7446B"/>
    <w:rsid w:val="00D7456A"/>
    <w:rsid w:val="00D745DA"/>
    <w:rsid w:val="00D7527B"/>
    <w:rsid w:val="00D75283"/>
    <w:rsid w:val="00D75749"/>
    <w:rsid w:val="00D75822"/>
    <w:rsid w:val="00D75CEE"/>
    <w:rsid w:val="00D75E59"/>
    <w:rsid w:val="00D760BD"/>
    <w:rsid w:val="00D76349"/>
    <w:rsid w:val="00D7669A"/>
    <w:rsid w:val="00D76A85"/>
    <w:rsid w:val="00D76BBC"/>
    <w:rsid w:val="00D7715C"/>
    <w:rsid w:val="00D7718A"/>
    <w:rsid w:val="00D77A20"/>
    <w:rsid w:val="00D77A77"/>
    <w:rsid w:val="00D77BE7"/>
    <w:rsid w:val="00D77FA2"/>
    <w:rsid w:val="00D8033D"/>
    <w:rsid w:val="00D8049E"/>
    <w:rsid w:val="00D8058A"/>
    <w:rsid w:val="00D80701"/>
    <w:rsid w:val="00D80950"/>
    <w:rsid w:val="00D80B9A"/>
    <w:rsid w:val="00D8141C"/>
    <w:rsid w:val="00D8143B"/>
    <w:rsid w:val="00D81C6A"/>
    <w:rsid w:val="00D82272"/>
    <w:rsid w:val="00D8335F"/>
    <w:rsid w:val="00D833B9"/>
    <w:rsid w:val="00D83FCD"/>
    <w:rsid w:val="00D84011"/>
    <w:rsid w:val="00D8402C"/>
    <w:rsid w:val="00D84909"/>
    <w:rsid w:val="00D84D9C"/>
    <w:rsid w:val="00D85A42"/>
    <w:rsid w:val="00D85BC2"/>
    <w:rsid w:val="00D85CD3"/>
    <w:rsid w:val="00D85F58"/>
    <w:rsid w:val="00D867F4"/>
    <w:rsid w:val="00D8705F"/>
    <w:rsid w:val="00D874C4"/>
    <w:rsid w:val="00D87AFA"/>
    <w:rsid w:val="00D87D21"/>
    <w:rsid w:val="00D87D6E"/>
    <w:rsid w:val="00D87D78"/>
    <w:rsid w:val="00D87F75"/>
    <w:rsid w:val="00D87FD8"/>
    <w:rsid w:val="00D902FB"/>
    <w:rsid w:val="00D90A47"/>
    <w:rsid w:val="00D90F8A"/>
    <w:rsid w:val="00D9137F"/>
    <w:rsid w:val="00D91A49"/>
    <w:rsid w:val="00D91C95"/>
    <w:rsid w:val="00D91C9A"/>
    <w:rsid w:val="00D91CCC"/>
    <w:rsid w:val="00D91D68"/>
    <w:rsid w:val="00D91FDD"/>
    <w:rsid w:val="00D92369"/>
    <w:rsid w:val="00D92393"/>
    <w:rsid w:val="00D9247E"/>
    <w:rsid w:val="00D9284C"/>
    <w:rsid w:val="00D92ABC"/>
    <w:rsid w:val="00D92B8F"/>
    <w:rsid w:val="00D92D7B"/>
    <w:rsid w:val="00D92E01"/>
    <w:rsid w:val="00D92EE4"/>
    <w:rsid w:val="00D932A1"/>
    <w:rsid w:val="00D93318"/>
    <w:rsid w:val="00D93A49"/>
    <w:rsid w:val="00D93A96"/>
    <w:rsid w:val="00D93AD9"/>
    <w:rsid w:val="00D93F49"/>
    <w:rsid w:val="00D94220"/>
    <w:rsid w:val="00D94924"/>
    <w:rsid w:val="00D94A21"/>
    <w:rsid w:val="00D94A27"/>
    <w:rsid w:val="00D94AEF"/>
    <w:rsid w:val="00D94D21"/>
    <w:rsid w:val="00D95427"/>
    <w:rsid w:val="00D95933"/>
    <w:rsid w:val="00D95B3D"/>
    <w:rsid w:val="00D95D9C"/>
    <w:rsid w:val="00D967C1"/>
    <w:rsid w:val="00D96E4A"/>
    <w:rsid w:val="00D97465"/>
    <w:rsid w:val="00D97589"/>
    <w:rsid w:val="00D975C2"/>
    <w:rsid w:val="00D97A97"/>
    <w:rsid w:val="00D97BF1"/>
    <w:rsid w:val="00D97E48"/>
    <w:rsid w:val="00DA087C"/>
    <w:rsid w:val="00DA08C8"/>
    <w:rsid w:val="00DA0BE3"/>
    <w:rsid w:val="00DA0D0B"/>
    <w:rsid w:val="00DA0D1E"/>
    <w:rsid w:val="00DA0EFD"/>
    <w:rsid w:val="00DA0FD7"/>
    <w:rsid w:val="00DA1549"/>
    <w:rsid w:val="00DA1A0C"/>
    <w:rsid w:val="00DA1D86"/>
    <w:rsid w:val="00DA1DEA"/>
    <w:rsid w:val="00DA208A"/>
    <w:rsid w:val="00DA263E"/>
    <w:rsid w:val="00DA2ABB"/>
    <w:rsid w:val="00DA2B57"/>
    <w:rsid w:val="00DA3082"/>
    <w:rsid w:val="00DA34CF"/>
    <w:rsid w:val="00DA3607"/>
    <w:rsid w:val="00DA367E"/>
    <w:rsid w:val="00DA374D"/>
    <w:rsid w:val="00DA3F78"/>
    <w:rsid w:val="00DA42C9"/>
    <w:rsid w:val="00DA47C4"/>
    <w:rsid w:val="00DA4C59"/>
    <w:rsid w:val="00DA54F5"/>
    <w:rsid w:val="00DA55F7"/>
    <w:rsid w:val="00DA5634"/>
    <w:rsid w:val="00DA57B3"/>
    <w:rsid w:val="00DA5878"/>
    <w:rsid w:val="00DA59CD"/>
    <w:rsid w:val="00DA5F4C"/>
    <w:rsid w:val="00DA6567"/>
    <w:rsid w:val="00DA6707"/>
    <w:rsid w:val="00DA6836"/>
    <w:rsid w:val="00DA6968"/>
    <w:rsid w:val="00DA6BDD"/>
    <w:rsid w:val="00DA780B"/>
    <w:rsid w:val="00DA7B7E"/>
    <w:rsid w:val="00DA7E03"/>
    <w:rsid w:val="00DB0218"/>
    <w:rsid w:val="00DB03A7"/>
    <w:rsid w:val="00DB0546"/>
    <w:rsid w:val="00DB0B23"/>
    <w:rsid w:val="00DB0E8B"/>
    <w:rsid w:val="00DB1084"/>
    <w:rsid w:val="00DB1194"/>
    <w:rsid w:val="00DB1D42"/>
    <w:rsid w:val="00DB1FF0"/>
    <w:rsid w:val="00DB290B"/>
    <w:rsid w:val="00DB3A37"/>
    <w:rsid w:val="00DB4CA5"/>
    <w:rsid w:val="00DB4D51"/>
    <w:rsid w:val="00DB4DA0"/>
    <w:rsid w:val="00DB4E09"/>
    <w:rsid w:val="00DB554B"/>
    <w:rsid w:val="00DB5729"/>
    <w:rsid w:val="00DB5A88"/>
    <w:rsid w:val="00DB5BAC"/>
    <w:rsid w:val="00DB61D1"/>
    <w:rsid w:val="00DB6205"/>
    <w:rsid w:val="00DB6413"/>
    <w:rsid w:val="00DB6491"/>
    <w:rsid w:val="00DB64F9"/>
    <w:rsid w:val="00DB65B8"/>
    <w:rsid w:val="00DB6A83"/>
    <w:rsid w:val="00DB6DE8"/>
    <w:rsid w:val="00DB6F66"/>
    <w:rsid w:val="00DB74F8"/>
    <w:rsid w:val="00DB7535"/>
    <w:rsid w:val="00DB78F4"/>
    <w:rsid w:val="00DC1A44"/>
    <w:rsid w:val="00DC2AEE"/>
    <w:rsid w:val="00DC3CDF"/>
    <w:rsid w:val="00DC3DA7"/>
    <w:rsid w:val="00DC4045"/>
    <w:rsid w:val="00DC47B3"/>
    <w:rsid w:val="00DC4B11"/>
    <w:rsid w:val="00DC4CBC"/>
    <w:rsid w:val="00DC4EEC"/>
    <w:rsid w:val="00DC514E"/>
    <w:rsid w:val="00DC582E"/>
    <w:rsid w:val="00DC5ED1"/>
    <w:rsid w:val="00DC5F2D"/>
    <w:rsid w:val="00DC617D"/>
    <w:rsid w:val="00DC61C4"/>
    <w:rsid w:val="00DC69F9"/>
    <w:rsid w:val="00DC6AF7"/>
    <w:rsid w:val="00DC6FE1"/>
    <w:rsid w:val="00DC7758"/>
    <w:rsid w:val="00DD00AF"/>
    <w:rsid w:val="00DD023F"/>
    <w:rsid w:val="00DD06D2"/>
    <w:rsid w:val="00DD0BF7"/>
    <w:rsid w:val="00DD0C8B"/>
    <w:rsid w:val="00DD0F70"/>
    <w:rsid w:val="00DD1563"/>
    <w:rsid w:val="00DD176D"/>
    <w:rsid w:val="00DD1E6F"/>
    <w:rsid w:val="00DD1E9C"/>
    <w:rsid w:val="00DD22B2"/>
    <w:rsid w:val="00DD2857"/>
    <w:rsid w:val="00DD2C95"/>
    <w:rsid w:val="00DD36DA"/>
    <w:rsid w:val="00DD3A37"/>
    <w:rsid w:val="00DD41E3"/>
    <w:rsid w:val="00DD47A6"/>
    <w:rsid w:val="00DD4926"/>
    <w:rsid w:val="00DD4D04"/>
    <w:rsid w:val="00DD4DA4"/>
    <w:rsid w:val="00DD5748"/>
    <w:rsid w:val="00DD5D3C"/>
    <w:rsid w:val="00DD5E4B"/>
    <w:rsid w:val="00DD5E6B"/>
    <w:rsid w:val="00DD5FED"/>
    <w:rsid w:val="00DD673D"/>
    <w:rsid w:val="00DD6AFD"/>
    <w:rsid w:val="00DD6C66"/>
    <w:rsid w:val="00DD6CB2"/>
    <w:rsid w:val="00DD6E9A"/>
    <w:rsid w:val="00DD74D9"/>
    <w:rsid w:val="00DD7A16"/>
    <w:rsid w:val="00DD7D10"/>
    <w:rsid w:val="00DE0199"/>
    <w:rsid w:val="00DE0612"/>
    <w:rsid w:val="00DE0E67"/>
    <w:rsid w:val="00DE15B1"/>
    <w:rsid w:val="00DE1C41"/>
    <w:rsid w:val="00DE22EE"/>
    <w:rsid w:val="00DE2A3F"/>
    <w:rsid w:val="00DE36A0"/>
    <w:rsid w:val="00DE38FD"/>
    <w:rsid w:val="00DE4166"/>
    <w:rsid w:val="00DE4225"/>
    <w:rsid w:val="00DE4316"/>
    <w:rsid w:val="00DE4477"/>
    <w:rsid w:val="00DE4CA6"/>
    <w:rsid w:val="00DE6013"/>
    <w:rsid w:val="00DE61EA"/>
    <w:rsid w:val="00DE6358"/>
    <w:rsid w:val="00DE6A84"/>
    <w:rsid w:val="00DE6C1E"/>
    <w:rsid w:val="00DE77C1"/>
    <w:rsid w:val="00DE77E2"/>
    <w:rsid w:val="00DE7998"/>
    <w:rsid w:val="00DE79DC"/>
    <w:rsid w:val="00DE7B1D"/>
    <w:rsid w:val="00DE7CEC"/>
    <w:rsid w:val="00DE7E91"/>
    <w:rsid w:val="00DF07A8"/>
    <w:rsid w:val="00DF0A5B"/>
    <w:rsid w:val="00DF0AA1"/>
    <w:rsid w:val="00DF0B89"/>
    <w:rsid w:val="00DF1096"/>
    <w:rsid w:val="00DF150F"/>
    <w:rsid w:val="00DF15A3"/>
    <w:rsid w:val="00DF2348"/>
    <w:rsid w:val="00DF2C63"/>
    <w:rsid w:val="00DF3646"/>
    <w:rsid w:val="00DF41D0"/>
    <w:rsid w:val="00DF4E83"/>
    <w:rsid w:val="00DF50D6"/>
    <w:rsid w:val="00DF5679"/>
    <w:rsid w:val="00DF638D"/>
    <w:rsid w:val="00DF63D8"/>
    <w:rsid w:val="00DF6B12"/>
    <w:rsid w:val="00DF6D26"/>
    <w:rsid w:val="00DF70D4"/>
    <w:rsid w:val="00DF7A76"/>
    <w:rsid w:val="00E003BA"/>
    <w:rsid w:val="00E00C6E"/>
    <w:rsid w:val="00E0117B"/>
    <w:rsid w:val="00E01559"/>
    <w:rsid w:val="00E015E6"/>
    <w:rsid w:val="00E01852"/>
    <w:rsid w:val="00E01B8B"/>
    <w:rsid w:val="00E02130"/>
    <w:rsid w:val="00E02827"/>
    <w:rsid w:val="00E0309E"/>
    <w:rsid w:val="00E03315"/>
    <w:rsid w:val="00E03672"/>
    <w:rsid w:val="00E03A38"/>
    <w:rsid w:val="00E0408D"/>
    <w:rsid w:val="00E04747"/>
    <w:rsid w:val="00E04B6E"/>
    <w:rsid w:val="00E05764"/>
    <w:rsid w:val="00E059B2"/>
    <w:rsid w:val="00E05ADE"/>
    <w:rsid w:val="00E06746"/>
    <w:rsid w:val="00E06EC6"/>
    <w:rsid w:val="00E070CD"/>
    <w:rsid w:val="00E0788E"/>
    <w:rsid w:val="00E07BBB"/>
    <w:rsid w:val="00E07ECD"/>
    <w:rsid w:val="00E07F8F"/>
    <w:rsid w:val="00E07FC8"/>
    <w:rsid w:val="00E1018F"/>
    <w:rsid w:val="00E10766"/>
    <w:rsid w:val="00E10A67"/>
    <w:rsid w:val="00E10EFD"/>
    <w:rsid w:val="00E1119B"/>
    <w:rsid w:val="00E11D26"/>
    <w:rsid w:val="00E1229B"/>
    <w:rsid w:val="00E12586"/>
    <w:rsid w:val="00E12E16"/>
    <w:rsid w:val="00E130FE"/>
    <w:rsid w:val="00E133DA"/>
    <w:rsid w:val="00E138E4"/>
    <w:rsid w:val="00E13DE2"/>
    <w:rsid w:val="00E141DD"/>
    <w:rsid w:val="00E1472F"/>
    <w:rsid w:val="00E147D9"/>
    <w:rsid w:val="00E15157"/>
    <w:rsid w:val="00E15461"/>
    <w:rsid w:val="00E15BCA"/>
    <w:rsid w:val="00E15CBB"/>
    <w:rsid w:val="00E16234"/>
    <w:rsid w:val="00E165AD"/>
    <w:rsid w:val="00E16A50"/>
    <w:rsid w:val="00E16A61"/>
    <w:rsid w:val="00E16DA3"/>
    <w:rsid w:val="00E170FF"/>
    <w:rsid w:val="00E1743D"/>
    <w:rsid w:val="00E178DB"/>
    <w:rsid w:val="00E17C08"/>
    <w:rsid w:val="00E200ED"/>
    <w:rsid w:val="00E20352"/>
    <w:rsid w:val="00E203FE"/>
    <w:rsid w:val="00E2077E"/>
    <w:rsid w:val="00E20E05"/>
    <w:rsid w:val="00E215F9"/>
    <w:rsid w:val="00E21E3F"/>
    <w:rsid w:val="00E222D0"/>
    <w:rsid w:val="00E2280C"/>
    <w:rsid w:val="00E228F7"/>
    <w:rsid w:val="00E232DA"/>
    <w:rsid w:val="00E2342A"/>
    <w:rsid w:val="00E23455"/>
    <w:rsid w:val="00E241CA"/>
    <w:rsid w:val="00E2424D"/>
    <w:rsid w:val="00E24A15"/>
    <w:rsid w:val="00E251BC"/>
    <w:rsid w:val="00E2539B"/>
    <w:rsid w:val="00E25F97"/>
    <w:rsid w:val="00E26034"/>
    <w:rsid w:val="00E26116"/>
    <w:rsid w:val="00E26360"/>
    <w:rsid w:val="00E267FA"/>
    <w:rsid w:val="00E270D5"/>
    <w:rsid w:val="00E2727F"/>
    <w:rsid w:val="00E27378"/>
    <w:rsid w:val="00E2748C"/>
    <w:rsid w:val="00E27D03"/>
    <w:rsid w:val="00E27D4A"/>
    <w:rsid w:val="00E30017"/>
    <w:rsid w:val="00E3031D"/>
    <w:rsid w:val="00E30429"/>
    <w:rsid w:val="00E30992"/>
    <w:rsid w:val="00E30AA4"/>
    <w:rsid w:val="00E30E1C"/>
    <w:rsid w:val="00E3161E"/>
    <w:rsid w:val="00E317C7"/>
    <w:rsid w:val="00E31A13"/>
    <w:rsid w:val="00E31BD8"/>
    <w:rsid w:val="00E31E73"/>
    <w:rsid w:val="00E322C3"/>
    <w:rsid w:val="00E32513"/>
    <w:rsid w:val="00E32698"/>
    <w:rsid w:val="00E32E94"/>
    <w:rsid w:val="00E32FC2"/>
    <w:rsid w:val="00E33A80"/>
    <w:rsid w:val="00E34237"/>
    <w:rsid w:val="00E34EAE"/>
    <w:rsid w:val="00E34F4B"/>
    <w:rsid w:val="00E3500D"/>
    <w:rsid w:val="00E35676"/>
    <w:rsid w:val="00E35806"/>
    <w:rsid w:val="00E358F3"/>
    <w:rsid w:val="00E35A29"/>
    <w:rsid w:val="00E35A79"/>
    <w:rsid w:val="00E35B5C"/>
    <w:rsid w:val="00E35B8A"/>
    <w:rsid w:val="00E35F32"/>
    <w:rsid w:val="00E36596"/>
    <w:rsid w:val="00E36750"/>
    <w:rsid w:val="00E368AF"/>
    <w:rsid w:val="00E3706A"/>
    <w:rsid w:val="00E3726C"/>
    <w:rsid w:val="00E37FF7"/>
    <w:rsid w:val="00E404B4"/>
    <w:rsid w:val="00E40575"/>
    <w:rsid w:val="00E40AD6"/>
    <w:rsid w:val="00E40E8A"/>
    <w:rsid w:val="00E41579"/>
    <w:rsid w:val="00E41DFA"/>
    <w:rsid w:val="00E421CD"/>
    <w:rsid w:val="00E42C13"/>
    <w:rsid w:val="00E42C64"/>
    <w:rsid w:val="00E42DCF"/>
    <w:rsid w:val="00E430AD"/>
    <w:rsid w:val="00E43287"/>
    <w:rsid w:val="00E4353A"/>
    <w:rsid w:val="00E437C4"/>
    <w:rsid w:val="00E43A7B"/>
    <w:rsid w:val="00E43C76"/>
    <w:rsid w:val="00E4421D"/>
    <w:rsid w:val="00E44243"/>
    <w:rsid w:val="00E44303"/>
    <w:rsid w:val="00E444D9"/>
    <w:rsid w:val="00E44869"/>
    <w:rsid w:val="00E44B15"/>
    <w:rsid w:val="00E44E35"/>
    <w:rsid w:val="00E450A8"/>
    <w:rsid w:val="00E4535C"/>
    <w:rsid w:val="00E45510"/>
    <w:rsid w:val="00E45F50"/>
    <w:rsid w:val="00E4604F"/>
    <w:rsid w:val="00E468C7"/>
    <w:rsid w:val="00E4692E"/>
    <w:rsid w:val="00E46C99"/>
    <w:rsid w:val="00E46DFD"/>
    <w:rsid w:val="00E47391"/>
    <w:rsid w:val="00E47578"/>
    <w:rsid w:val="00E50D8D"/>
    <w:rsid w:val="00E50E51"/>
    <w:rsid w:val="00E510E3"/>
    <w:rsid w:val="00E514FC"/>
    <w:rsid w:val="00E51604"/>
    <w:rsid w:val="00E51767"/>
    <w:rsid w:val="00E517E0"/>
    <w:rsid w:val="00E519BE"/>
    <w:rsid w:val="00E51F03"/>
    <w:rsid w:val="00E521FA"/>
    <w:rsid w:val="00E52622"/>
    <w:rsid w:val="00E52791"/>
    <w:rsid w:val="00E528B3"/>
    <w:rsid w:val="00E528E7"/>
    <w:rsid w:val="00E5321E"/>
    <w:rsid w:val="00E53D1B"/>
    <w:rsid w:val="00E54C0D"/>
    <w:rsid w:val="00E5520B"/>
    <w:rsid w:val="00E55453"/>
    <w:rsid w:val="00E556DB"/>
    <w:rsid w:val="00E55A05"/>
    <w:rsid w:val="00E55A2D"/>
    <w:rsid w:val="00E55E66"/>
    <w:rsid w:val="00E560CA"/>
    <w:rsid w:val="00E5629F"/>
    <w:rsid w:val="00E5673D"/>
    <w:rsid w:val="00E56BA7"/>
    <w:rsid w:val="00E57387"/>
    <w:rsid w:val="00E602CB"/>
    <w:rsid w:val="00E60608"/>
    <w:rsid w:val="00E607C8"/>
    <w:rsid w:val="00E60B21"/>
    <w:rsid w:val="00E60C58"/>
    <w:rsid w:val="00E60C92"/>
    <w:rsid w:val="00E61126"/>
    <w:rsid w:val="00E613F8"/>
    <w:rsid w:val="00E614A3"/>
    <w:rsid w:val="00E615DF"/>
    <w:rsid w:val="00E616B5"/>
    <w:rsid w:val="00E61804"/>
    <w:rsid w:val="00E61EC4"/>
    <w:rsid w:val="00E61FB0"/>
    <w:rsid w:val="00E62384"/>
    <w:rsid w:val="00E62585"/>
    <w:rsid w:val="00E62963"/>
    <w:rsid w:val="00E635B4"/>
    <w:rsid w:val="00E6369B"/>
    <w:rsid w:val="00E63DB1"/>
    <w:rsid w:val="00E64213"/>
    <w:rsid w:val="00E64359"/>
    <w:rsid w:val="00E65173"/>
    <w:rsid w:val="00E65833"/>
    <w:rsid w:val="00E65994"/>
    <w:rsid w:val="00E65C66"/>
    <w:rsid w:val="00E65E49"/>
    <w:rsid w:val="00E6605F"/>
    <w:rsid w:val="00E66674"/>
    <w:rsid w:val="00E666AE"/>
    <w:rsid w:val="00E66B08"/>
    <w:rsid w:val="00E67243"/>
    <w:rsid w:val="00E67A33"/>
    <w:rsid w:val="00E70360"/>
    <w:rsid w:val="00E71AAB"/>
    <w:rsid w:val="00E71ABD"/>
    <w:rsid w:val="00E71DFF"/>
    <w:rsid w:val="00E71E56"/>
    <w:rsid w:val="00E721EF"/>
    <w:rsid w:val="00E72D46"/>
    <w:rsid w:val="00E72D6E"/>
    <w:rsid w:val="00E72DF0"/>
    <w:rsid w:val="00E733C6"/>
    <w:rsid w:val="00E7390B"/>
    <w:rsid w:val="00E73B43"/>
    <w:rsid w:val="00E744C1"/>
    <w:rsid w:val="00E746B8"/>
    <w:rsid w:val="00E751B6"/>
    <w:rsid w:val="00E752FE"/>
    <w:rsid w:val="00E753AA"/>
    <w:rsid w:val="00E75508"/>
    <w:rsid w:val="00E7572C"/>
    <w:rsid w:val="00E7584E"/>
    <w:rsid w:val="00E7620E"/>
    <w:rsid w:val="00E76246"/>
    <w:rsid w:val="00E762CD"/>
    <w:rsid w:val="00E762EC"/>
    <w:rsid w:val="00E7676E"/>
    <w:rsid w:val="00E76C9C"/>
    <w:rsid w:val="00E76F4D"/>
    <w:rsid w:val="00E77433"/>
    <w:rsid w:val="00E7772C"/>
    <w:rsid w:val="00E77A9B"/>
    <w:rsid w:val="00E803D0"/>
    <w:rsid w:val="00E8088F"/>
    <w:rsid w:val="00E80B48"/>
    <w:rsid w:val="00E8133C"/>
    <w:rsid w:val="00E816D8"/>
    <w:rsid w:val="00E817A7"/>
    <w:rsid w:val="00E81A0D"/>
    <w:rsid w:val="00E820A7"/>
    <w:rsid w:val="00E822BA"/>
    <w:rsid w:val="00E82310"/>
    <w:rsid w:val="00E828BA"/>
    <w:rsid w:val="00E82E34"/>
    <w:rsid w:val="00E83007"/>
    <w:rsid w:val="00E830D6"/>
    <w:rsid w:val="00E8325F"/>
    <w:rsid w:val="00E8377C"/>
    <w:rsid w:val="00E83971"/>
    <w:rsid w:val="00E83D29"/>
    <w:rsid w:val="00E83D63"/>
    <w:rsid w:val="00E8406C"/>
    <w:rsid w:val="00E84668"/>
    <w:rsid w:val="00E84ABD"/>
    <w:rsid w:val="00E857D8"/>
    <w:rsid w:val="00E8591A"/>
    <w:rsid w:val="00E85C02"/>
    <w:rsid w:val="00E85D53"/>
    <w:rsid w:val="00E85FD9"/>
    <w:rsid w:val="00E861AB"/>
    <w:rsid w:val="00E864F5"/>
    <w:rsid w:val="00E86585"/>
    <w:rsid w:val="00E86906"/>
    <w:rsid w:val="00E86ED4"/>
    <w:rsid w:val="00E87148"/>
    <w:rsid w:val="00E8730B"/>
    <w:rsid w:val="00E87448"/>
    <w:rsid w:val="00E8754A"/>
    <w:rsid w:val="00E87713"/>
    <w:rsid w:val="00E87B35"/>
    <w:rsid w:val="00E87C72"/>
    <w:rsid w:val="00E87F88"/>
    <w:rsid w:val="00E905C8"/>
    <w:rsid w:val="00E91EAF"/>
    <w:rsid w:val="00E921ED"/>
    <w:rsid w:val="00E92418"/>
    <w:rsid w:val="00E92D09"/>
    <w:rsid w:val="00E92E39"/>
    <w:rsid w:val="00E92EAE"/>
    <w:rsid w:val="00E92EC9"/>
    <w:rsid w:val="00E930FD"/>
    <w:rsid w:val="00E931D5"/>
    <w:rsid w:val="00E93A89"/>
    <w:rsid w:val="00E94309"/>
    <w:rsid w:val="00E9438D"/>
    <w:rsid w:val="00E94952"/>
    <w:rsid w:val="00E94DAB"/>
    <w:rsid w:val="00E9546A"/>
    <w:rsid w:val="00E95878"/>
    <w:rsid w:val="00E95F26"/>
    <w:rsid w:val="00E96180"/>
    <w:rsid w:val="00E96487"/>
    <w:rsid w:val="00E965C3"/>
    <w:rsid w:val="00E97B6F"/>
    <w:rsid w:val="00E97F96"/>
    <w:rsid w:val="00EA0137"/>
    <w:rsid w:val="00EA024E"/>
    <w:rsid w:val="00EA04E5"/>
    <w:rsid w:val="00EA0AB7"/>
    <w:rsid w:val="00EA0BB1"/>
    <w:rsid w:val="00EA0FE9"/>
    <w:rsid w:val="00EA1110"/>
    <w:rsid w:val="00EA1526"/>
    <w:rsid w:val="00EA18ED"/>
    <w:rsid w:val="00EA194C"/>
    <w:rsid w:val="00EA1B36"/>
    <w:rsid w:val="00EA23F0"/>
    <w:rsid w:val="00EA284D"/>
    <w:rsid w:val="00EA2903"/>
    <w:rsid w:val="00EA2967"/>
    <w:rsid w:val="00EA2AD0"/>
    <w:rsid w:val="00EA2B5A"/>
    <w:rsid w:val="00EA2CED"/>
    <w:rsid w:val="00EA3255"/>
    <w:rsid w:val="00EA3C9F"/>
    <w:rsid w:val="00EA4DE3"/>
    <w:rsid w:val="00EA4FD8"/>
    <w:rsid w:val="00EA50B4"/>
    <w:rsid w:val="00EA537A"/>
    <w:rsid w:val="00EA5B85"/>
    <w:rsid w:val="00EA5F03"/>
    <w:rsid w:val="00EA623C"/>
    <w:rsid w:val="00EA65D7"/>
    <w:rsid w:val="00EA6710"/>
    <w:rsid w:val="00EA67B5"/>
    <w:rsid w:val="00EA67D3"/>
    <w:rsid w:val="00EA6A6D"/>
    <w:rsid w:val="00EA6B34"/>
    <w:rsid w:val="00EA7253"/>
    <w:rsid w:val="00EA738B"/>
    <w:rsid w:val="00EB0B6E"/>
    <w:rsid w:val="00EB0DDD"/>
    <w:rsid w:val="00EB0E7A"/>
    <w:rsid w:val="00EB1A22"/>
    <w:rsid w:val="00EB205C"/>
    <w:rsid w:val="00EB2067"/>
    <w:rsid w:val="00EB2E98"/>
    <w:rsid w:val="00EB32C6"/>
    <w:rsid w:val="00EB3B37"/>
    <w:rsid w:val="00EB43D3"/>
    <w:rsid w:val="00EB448D"/>
    <w:rsid w:val="00EB4538"/>
    <w:rsid w:val="00EB4CF2"/>
    <w:rsid w:val="00EB4D66"/>
    <w:rsid w:val="00EB5911"/>
    <w:rsid w:val="00EB5AFB"/>
    <w:rsid w:val="00EB5B74"/>
    <w:rsid w:val="00EB5E98"/>
    <w:rsid w:val="00EB6313"/>
    <w:rsid w:val="00EB681D"/>
    <w:rsid w:val="00EB69FC"/>
    <w:rsid w:val="00EB69FD"/>
    <w:rsid w:val="00EB6C14"/>
    <w:rsid w:val="00EB6C67"/>
    <w:rsid w:val="00EB6CEC"/>
    <w:rsid w:val="00EB74E0"/>
    <w:rsid w:val="00EB7BB4"/>
    <w:rsid w:val="00EB7DA0"/>
    <w:rsid w:val="00EB7F0F"/>
    <w:rsid w:val="00EC08FA"/>
    <w:rsid w:val="00EC09F2"/>
    <w:rsid w:val="00EC0C3A"/>
    <w:rsid w:val="00EC0D08"/>
    <w:rsid w:val="00EC0D57"/>
    <w:rsid w:val="00EC0DDC"/>
    <w:rsid w:val="00EC10C6"/>
    <w:rsid w:val="00EC1517"/>
    <w:rsid w:val="00EC1FE7"/>
    <w:rsid w:val="00EC25C9"/>
    <w:rsid w:val="00EC2C0C"/>
    <w:rsid w:val="00EC2C63"/>
    <w:rsid w:val="00EC31C7"/>
    <w:rsid w:val="00EC34F6"/>
    <w:rsid w:val="00EC36B3"/>
    <w:rsid w:val="00EC3B22"/>
    <w:rsid w:val="00EC3D4C"/>
    <w:rsid w:val="00EC3F41"/>
    <w:rsid w:val="00EC403D"/>
    <w:rsid w:val="00EC4C4E"/>
    <w:rsid w:val="00EC4D4D"/>
    <w:rsid w:val="00EC5139"/>
    <w:rsid w:val="00EC56C9"/>
    <w:rsid w:val="00EC583F"/>
    <w:rsid w:val="00EC59D5"/>
    <w:rsid w:val="00EC5F35"/>
    <w:rsid w:val="00EC67A9"/>
    <w:rsid w:val="00EC7108"/>
    <w:rsid w:val="00EC7498"/>
    <w:rsid w:val="00EC7795"/>
    <w:rsid w:val="00EC7908"/>
    <w:rsid w:val="00EC7FC8"/>
    <w:rsid w:val="00ED07E5"/>
    <w:rsid w:val="00ED1A81"/>
    <w:rsid w:val="00ED1AF5"/>
    <w:rsid w:val="00ED200D"/>
    <w:rsid w:val="00ED25CF"/>
    <w:rsid w:val="00ED27C1"/>
    <w:rsid w:val="00ED2E41"/>
    <w:rsid w:val="00ED2E81"/>
    <w:rsid w:val="00ED306F"/>
    <w:rsid w:val="00ED3282"/>
    <w:rsid w:val="00ED3516"/>
    <w:rsid w:val="00ED3C62"/>
    <w:rsid w:val="00ED46C3"/>
    <w:rsid w:val="00ED4729"/>
    <w:rsid w:val="00ED499D"/>
    <w:rsid w:val="00ED503E"/>
    <w:rsid w:val="00ED58B1"/>
    <w:rsid w:val="00ED5B33"/>
    <w:rsid w:val="00ED6011"/>
    <w:rsid w:val="00ED60C1"/>
    <w:rsid w:val="00ED6148"/>
    <w:rsid w:val="00ED6516"/>
    <w:rsid w:val="00ED67B9"/>
    <w:rsid w:val="00ED74C5"/>
    <w:rsid w:val="00ED74CC"/>
    <w:rsid w:val="00ED7CC8"/>
    <w:rsid w:val="00ED7F33"/>
    <w:rsid w:val="00EE00AC"/>
    <w:rsid w:val="00EE013A"/>
    <w:rsid w:val="00EE028D"/>
    <w:rsid w:val="00EE0469"/>
    <w:rsid w:val="00EE0575"/>
    <w:rsid w:val="00EE05D7"/>
    <w:rsid w:val="00EE09FD"/>
    <w:rsid w:val="00EE1380"/>
    <w:rsid w:val="00EE1511"/>
    <w:rsid w:val="00EE197E"/>
    <w:rsid w:val="00EE1AF8"/>
    <w:rsid w:val="00EE1E5E"/>
    <w:rsid w:val="00EE2B91"/>
    <w:rsid w:val="00EE34BB"/>
    <w:rsid w:val="00EE34DF"/>
    <w:rsid w:val="00EE37D0"/>
    <w:rsid w:val="00EE4291"/>
    <w:rsid w:val="00EE4D11"/>
    <w:rsid w:val="00EE5293"/>
    <w:rsid w:val="00EE611E"/>
    <w:rsid w:val="00EE677B"/>
    <w:rsid w:val="00EE6B42"/>
    <w:rsid w:val="00EE6E9E"/>
    <w:rsid w:val="00EE718D"/>
    <w:rsid w:val="00EE7692"/>
    <w:rsid w:val="00EE78F6"/>
    <w:rsid w:val="00EE7E0E"/>
    <w:rsid w:val="00EF026A"/>
    <w:rsid w:val="00EF0440"/>
    <w:rsid w:val="00EF174C"/>
    <w:rsid w:val="00EF1AAD"/>
    <w:rsid w:val="00EF1B31"/>
    <w:rsid w:val="00EF20B1"/>
    <w:rsid w:val="00EF2798"/>
    <w:rsid w:val="00EF2D3F"/>
    <w:rsid w:val="00EF2EF6"/>
    <w:rsid w:val="00EF2F97"/>
    <w:rsid w:val="00EF33EB"/>
    <w:rsid w:val="00EF3562"/>
    <w:rsid w:val="00EF38F7"/>
    <w:rsid w:val="00EF3931"/>
    <w:rsid w:val="00EF3BFC"/>
    <w:rsid w:val="00EF4341"/>
    <w:rsid w:val="00EF43FE"/>
    <w:rsid w:val="00EF459B"/>
    <w:rsid w:val="00EF4607"/>
    <w:rsid w:val="00EF4609"/>
    <w:rsid w:val="00EF50EE"/>
    <w:rsid w:val="00EF5126"/>
    <w:rsid w:val="00EF5755"/>
    <w:rsid w:val="00EF587B"/>
    <w:rsid w:val="00EF61E0"/>
    <w:rsid w:val="00EF65BA"/>
    <w:rsid w:val="00EF66C1"/>
    <w:rsid w:val="00EF70D5"/>
    <w:rsid w:val="00EF7618"/>
    <w:rsid w:val="00EF7795"/>
    <w:rsid w:val="00EF7902"/>
    <w:rsid w:val="00EF7D58"/>
    <w:rsid w:val="00EF7FC5"/>
    <w:rsid w:val="00F003E3"/>
    <w:rsid w:val="00F00486"/>
    <w:rsid w:val="00F009CF"/>
    <w:rsid w:val="00F00F4B"/>
    <w:rsid w:val="00F00FFB"/>
    <w:rsid w:val="00F018CA"/>
    <w:rsid w:val="00F01F8C"/>
    <w:rsid w:val="00F023F3"/>
    <w:rsid w:val="00F029D9"/>
    <w:rsid w:val="00F02F95"/>
    <w:rsid w:val="00F0310C"/>
    <w:rsid w:val="00F04776"/>
    <w:rsid w:val="00F04930"/>
    <w:rsid w:val="00F04BEC"/>
    <w:rsid w:val="00F04CA2"/>
    <w:rsid w:val="00F04E66"/>
    <w:rsid w:val="00F04ED4"/>
    <w:rsid w:val="00F054BF"/>
    <w:rsid w:val="00F0580E"/>
    <w:rsid w:val="00F0597E"/>
    <w:rsid w:val="00F05BF5"/>
    <w:rsid w:val="00F05E2D"/>
    <w:rsid w:val="00F05ED6"/>
    <w:rsid w:val="00F061E9"/>
    <w:rsid w:val="00F06625"/>
    <w:rsid w:val="00F06F42"/>
    <w:rsid w:val="00F0714F"/>
    <w:rsid w:val="00F07E40"/>
    <w:rsid w:val="00F07EE5"/>
    <w:rsid w:val="00F07F27"/>
    <w:rsid w:val="00F07F5A"/>
    <w:rsid w:val="00F100DE"/>
    <w:rsid w:val="00F101F9"/>
    <w:rsid w:val="00F10299"/>
    <w:rsid w:val="00F1091A"/>
    <w:rsid w:val="00F10E3A"/>
    <w:rsid w:val="00F10E73"/>
    <w:rsid w:val="00F112C0"/>
    <w:rsid w:val="00F114E9"/>
    <w:rsid w:val="00F11860"/>
    <w:rsid w:val="00F11E9F"/>
    <w:rsid w:val="00F1254C"/>
    <w:rsid w:val="00F1257E"/>
    <w:rsid w:val="00F12A59"/>
    <w:rsid w:val="00F133B6"/>
    <w:rsid w:val="00F13547"/>
    <w:rsid w:val="00F13773"/>
    <w:rsid w:val="00F1378A"/>
    <w:rsid w:val="00F1383C"/>
    <w:rsid w:val="00F13A74"/>
    <w:rsid w:val="00F13E5B"/>
    <w:rsid w:val="00F14A52"/>
    <w:rsid w:val="00F14AAC"/>
    <w:rsid w:val="00F14FF8"/>
    <w:rsid w:val="00F153D3"/>
    <w:rsid w:val="00F1565B"/>
    <w:rsid w:val="00F15CD1"/>
    <w:rsid w:val="00F164D5"/>
    <w:rsid w:val="00F16AD9"/>
    <w:rsid w:val="00F16D52"/>
    <w:rsid w:val="00F17FD3"/>
    <w:rsid w:val="00F201A5"/>
    <w:rsid w:val="00F202C8"/>
    <w:rsid w:val="00F20AC6"/>
    <w:rsid w:val="00F20EA4"/>
    <w:rsid w:val="00F20F52"/>
    <w:rsid w:val="00F213D9"/>
    <w:rsid w:val="00F21499"/>
    <w:rsid w:val="00F215DD"/>
    <w:rsid w:val="00F21B38"/>
    <w:rsid w:val="00F21BAE"/>
    <w:rsid w:val="00F22141"/>
    <w:rsid w:val="00F2221B"/>
    <w:rsid w:val="00F22D59"/>
    <w:rsid w:val="00F23794"/>
    <w:rsid w:val="00F2379C"/>
    <w:rsid w:val="00F23858"/>
    <w:rsid w:val="00F2386B"/>
    <w:rsid w:val="00F24A1F"/>
    <w:rsid w:val="00F25302"/>
    <w:rsid w:val="00F25521"/>
    <w:rsid w:val="00F258E3"/>
    <w:rsid w:val="00F26242"/>
    <w:rsid w:val="00F267E1"/>
    <w:rsid w:val="00F26DB9"/>
    <w:rsid w:val="00F26F4F"/>
    <w:rsid w:val="00F27238"/>
    <w:rsid w:val="00F273C9"/>
    <w:rsid w:val="00F27EFB"/>
    <w:rsid w:val="00F3029C"/>
    <w:rsid w:val="00F3033E"/>
    <w:rsid w:val="00F30803"/>
    <w:rsid w:val="00F30BBF"/>
    <w:rsid w:val="00F30C65"/>
    <w:rsid w:val="00F30DDB"/>
    <w:rsid w:val="00F30E2D"/>
    <w:rsid w:val="00F313B6"/>
    <w:rsid w:val="00F314CE"/>
    <w:rsid w:val="00F31BAD"/>
    <w:rsid w:val="00F32469"/>
    <w:rsid w:val="00F32599"/>
    <w:rsid w:val="00F32847"/>
    <w:rsid w:val="00F32D90"/>
    <w:rsid w:val="00F32E7B"/>
    <w:rsid w:val="00F3318D"/>
    <w:rsid w:val="00F331F0"/>
    <w:rsid w:val="00F33360"/>
    <w:rsid w:val="00F3393A"/>
    <w:rsid w:val="00F33947"/>
    <w:rsid w:val="00F33B9D"/>
    <w:rsid w:val="00F33C93"/>
    <w:rsid w:val="00F33CDE"/>
    <w:rsid w:val="00F341BB"/>
    <w:rsid w:val="00F3428D"/>
    <w:rsid w:val="00F34400"/>
    <w:rsid w:val="00F34664"/>
    <w:rsid w:val="00F348E2"/>
    <w:rsid w:val="00F34AD9"/>
    <w:rsid w:val="00F351C4"/>
    <w:rsid w:val="00F35699"/>
    <w:rsid w:val="00F35C8E"/>
    <w:rsid w:val="00F35DB9"/>
    <w:rsid w:val="00F36358"/>
    <w:rsid w:val="00F364E4"/>
    <w:rsid w:val="00F36833"/>
    <w:rsid w:val="00F36B0C"/>
    <w:rsid w:val="00F36B8D"/>
    <w:rsid w:val="00F374C1"/>
    <w:rsid w:val="00F37855"/>
    <w:rsid w:val="00F378A5"/>
    <w:rsid w:val="00F4099E"/>
    <w:rsid w:val="00F40D3B"/>
    <w:rsid w:val="00F4149F"/>
    <w:rsid w:val="00F415E6"/>
    <w:rsid w:val="00F417F8"/>
    <w:rsid w:val="00F41E8C"/>
    <w:rsid w:val="00F42934"/>
    <w:rsid w:val="00F42D9E"/>
    <w:rsid w:val="00F42E88"/>
    <w:rsid w:val="00F436D9"/>
    <w:rsid w:val="00F442FF"/>
    <w:rsid w:val="00F443D4"/>
    <w:rsid w:val="00F45244"/>
    <w:rsid w:val="00F455F8"/>
    <w:rsid w:val="00F4565F"/>
    <w:rsid w:val="00F4586D"/>
    <w:rsid w:val="00F459B0"/>
    <w:rsid w:val="00F45DE9"/>
    <w:rsid w:val="00F462EE"/>
    <w:rsid w:val="00F463EA"/>
    <w:rsid w:val="00F468D9"/>
    <w:rsid w:val="00F4704B"/>
    <w:rsid w:val="00F4715F"/>
    <w:rsid w:val="00F477D1"/>
    <w:rsid w:val="00F50008"/>
    <w:rsid w:val="00F50343"/>
    <w:rsid w:val="00F5036F"/>
    <w:rsid w:val="00F50398"/>
    <w:rsid w:val="00F506EB"/>
    <w:rsid w:val="00F50D57"/>
    <w:rsid w:val="00F519DC"/>
    <w:rsid w:val="00F51E85"/>
    <w:rsid w:val="00F5217A"/>
    <w:rsid w:val="00F5252D"/>
    <w:rsid w:val="00F52B3D"/>
    <w:rsid w:val="00F52C87"/>
    <w:rsid w:val="00F52DA8"/>
    <w:rsid w:val="00F52E1A"/>
    <w:rsid w:val="00F52F29"/>
    <w:rsid w:val="00F53E4C"/>
    <w:rsid w:val="00F54A31"/>
    <w:rsid w:val="00F54A34"/>
    <w:rsid w:val="00F54B70"/>
    <w:rsid w:val="00F54CA3"/>
    <w:rsid w:val="00F55027"/>
    <w:rsid w:val="00F55815"/>
    <w:rsid w:val="00F5583F"/>
    <w:rsid w:val="00F55D53"/>
    <w:rsid w:val="00F56272"/>
    <w:rsid w:val="00F564B4"/>
    <w:rsid w:val="00F5676B"/>
    <w:rsid w:val="00F5782E"/>
    <w:rsid w:val="00F579DD"/>
    <w:rsid w:val="00F57CDE"/>
    <w:rsid w:val="00F57E9C"/>
    <w:rsid w:val="00F60460"/>
    <w:rsid w:val="00F60E45"/>
    <w:rsid w:val="00F6105E"/>
    <w:rsid w:val="00F611DC"/>
    <w:rsid w:val="00F61DA8"/>
    <w:rsid w:val="00F61F94"/>
    <w:rsid w:val="00F62044"/>
    <w:rsid w:val="00F6220E"/>
    <w:rsid w:val="00F62457"/>
    <w:rsid w:val="00F62C3F"/>
    <w:rsid w:val="00F62D2D"/>
    <w:rsid w:val="00F63336"/>
    <w:rsid w:val="00F6360F"/>
    <w:rsid w:val="00F63B5C"/>
    <w:rsid w:val="00F64B33"/>
    <w:rsid w:val="00F65903"/>
    <w:rsid w:val="00F66440"/>
    <w:rsid w:val="00F665BC"/>
    <w:rsid w:val="00F6684A"/>
    <w:rsid w:val="00F66959"/>
    <w:rsid w:val="00F67014"/>
    <w:rsid w:val="00F674D5"/>
    <w:rsid w:val="00F676D5"/>
    <w:rsid w:val="00F67BD5"/>
    <w:rsid w:val="00F67D03"/>
    <w:rsid w:val="00F70156"/>
    <w:rsid w:val="00F70B10"/>
    <w:rsid w:val="00F70BBC"/>
    <w:rsid w:val="00F70D07"/>
    <w:rsid w:val="00F70D92"/>
    <w:rsid w:val="00F71C08"/>
    <w:rsid w:val="00F723BE"/>
    <w:rsid w:val="00F72464"/>
    <w:rsid w:val="00F72C67"/>
    <w:rsid w:val="00F72CD1"/>
    <w:rsid w:val="00F72D1E"/>
    <w:rsid w:val="00F73459"/>
    <w:rsid w:val="00F73667"/>
    <w:rsid w:val="00F73880"/>
    <w:rsid w:val="00F73A40"/>
    <w:rsid w:val="00F73B7B"/>
    <w:rsid w:val="00F74749"/>
    <w:rsid w:val="00F74936"/>
    <w:rsid w:val="00F74CBA"/>
    <w:rsid w:val="00F74F10"/>
    <w:rsid w:val="00F7511C"/>
    <w:rsid w:val="00F75274"/>
    <w:rsid w:val="00F754E3"/>
    <w:rsid w:val="00F75571"/>
    <w:rsid w:val="00F756A5"/>
    <w:rsid w:val="00F758B8"/>
    <w:rsid w:val="00F75ED2"/>
    <w:rsid w:val="00F75EE8"/>
    <w:rsid w:val="00F76683"/>
    <w:rsid w:val="00F76DE8"/>
    <w:rsid w:val="00F77536"/>
    <w:rsid w:val="00F777F3"/>
    <w:rsid w:val="00F778AF"/>
    <w:rsid w:val="00F77BE0"/>
    <w:rsid w:val="00F77C12"/>
    <w:rsid w:val="00F77DDC"/>
    <w:rsid w:val="00F807C1"/>
    <w:rsid w:val="00F80D10"/>
    <w:rsid w:val="00F81157"/>
    <w:rsid w:val="00F813B6"/>
    <w:rsid w:val="00F813D6"/>
    <w:rsid w:val="00F816C4"/>
    <w:rsid w:val="00F817FC"/>
    <w:rsid w:val="00F822B6"/>
    <w:rsid w:val="00F82625"/>
    <w:rsid w:val="00F82D0B"/>
    <w:rsid w:val="00F830E6"/>
    <w:rsid w:val="00F8346A"/>
    <w:rsid w:val="00F8454C"/>
    <w:rsid w:val="00F8598E"/>
    <w:rsid w:val="00F86291"/>
    <w:rsid w:val="00F8670D"/>
    <w:rsid w:val="00F86743"/>
    <w:rsid w:val="00F86E64"/>
    <w:rsid w:val="00F87BF1"/>
    <w:rsid w:val="00F87EB0"/>
    <w:rsid w:val="00F90312"/>
    <w:rsid w:val="00F9064C"/>
    <w:rsid w:val="00F90A9D"/>
    <w:rsid w:val="00F91146"/>
    <w:rsid w:val="00F91442"/>
    <w:rsid w:val="00F91973"/>
    <w:rsid w:val="00F91B0B"/>
    <w:rsid w:val="00F91C02"/>
    <w:rsid w:val="00F9245F"/>
    <w:rsid w:val="00F92472"/>
    <w:rsid w:val="00F93584"/>
    <w:rsid w:val="00F9390B"/>
    <w:rsid w:val="00F93984"/>
    <w:rsid w:val="00F93D3E"/>
    <w:rsid w:val="00F944B6"/>
    <w:rsid w:val="00F9451E"/>
    <w:rsid w:val="00F94758"/>
    <w:rsid w:val="00F947E0"/>
    <w:rsid w:val="00F9498C"/>
    <w:rsid w:val="00F94A8C"/>
    <w:rsid w:val="00F94C45"/>
    <w:rsid w:val="00F94CE4"/>
    <w:rsid w:val="00F94F88"/>
    <w:rsid w:val="00F95075"/>
    <w:rsid w:val="00F950F5"/>
    <w:rsid w:val="00F95132"/>
    <w:rsid w:val="00F9550C"/>
    <w:rsid w:val="00F956A4"/>
    <w:rsid w:val="00F95859"/>
    <w:rsid w:val="00F95D02"/>
    <w:rsid w:val="00F95E6E"/>
    <w:rsid w:val="00F9613C"/>
    <w:rsid w:val="00F96CEC"/>
    <w:rsid w:val="00F97066"/>
    <w:rsid w:val="00F973BF"/>
    <w:rsid w:val="00F9781D"/>
    <w:rsid w:val="00F97960"/>
    <w:rsid w:val="00F97D63"/>
    <w:rsid w:val="00F97F83"/>
    <w:rsid w:val="00F97FBF"/>
    <w:rsid w:val="00FA01CF"/>
    <w:rsid w:val="00FA04EA"/>
    <w:rsid w:val="00FA0996"/>
    <w:rsid w:val="00FA100F"/>
    <w:rsid w:val="00FA1254"/>
    <w:rsid w:val="00FA1863"/>
    <w:rsid w:val="00FA186E"/>
    <w:rsid w:val="00FA1F8D"/>
    <w:rsid w:val="00FA2351"/>
    <w:rsid w:val="00FA26AF"/>
    <w:rsid w:val="00FA2B5D"/>
    <w:rsid w:val="00FA2EF0"/>
    <w:rsid w:val="00FA31AA"/>
    <w:rsid w:val="00FA3722"/>
    <w:rsid w:val="00FA3760"/>
    <w:rsid w:val="00FA3792"/>
    <w:rsid w:val="00FA47A9"/>
    <w:rsid w:val="00FA515D"/>
    <w:rsid w:val="00FA5F97"/>
    <w:rsid w:val="00FA63EE"/>
    <w:rsid w:val="00FA65D8"/>
    <w:rsid w:val="00FA6B13"/>
    <w:rsid w:val="00FA6E91"/>
    <w:rsid w:val="00FA732B"/>
    <w:rsid w:val="00FA73DD"/>
    <w:rsid w:val="00FA758E"/>
    <w:rsid w:val="00FA7B4E"/>
    <w:rsid w:val="00FA7E08"/>
    <w:rsid w:val="00FA7F2A"/>
    <w:rsid w:val="00FB024D"/>
    <w:rsid w:val="00FB0659"/>
    <w:rsid w:val="00FB06D4"/>
    <w:rsid w:val="00FB08AE"/>
    <w:rsid w:val="00FB11B9"/>
    <w:rsid w:val="00FB145A"/>
    <w:rsid w:val="00FB2A3E"/>
    <w:rsid w:val="00FB2AFD"/>
    <w:rsid w:val="00FB2C85"/>
    <w:rsid w:val="00FB2DA1"/>
    <w:rsid w:val="00FB3361"/>
    <w:rsid w:val="00FB337D"/>
    <w:rsid w:val="00FB3850"/>
    <w:rsid w:val="00FB3915"/>
    <w:rsid w:val="00FB3C75"/>
    <w:rsid w:val="00FB3D82"/>
    <w:rsid w:val="00FB3F83"/>
    <w:rsid w:val="00FB472A"/>
    <w:rsid w:val="00FB4BE2"/>
    <w:rsid w:val="00FB59CD"/>
    <w:rsid w:val="00FB637C"/>
    <w:rsid w:val="00FB6AA7"/>
    <w:rsid w:val="00FB70FE"/>
    <w:rsid w:val="00FB737C"/>
    <w:rsid w:val="00FB73BF"/>
    <w:rsid w:val="00FB75E5"/>
    <w:rsid w:val="00FB7792"/>
    <w:rsid w:val="00FB7F9C"/>
    <w:rsid w:val="00FC0EC1"/>
    <w:rsid w:val="00FC1328"/>
    <w:rsid w:val="00FC132E"/>
    <w:rsid w:val="00FC1687"/>
    <w:rsid w:val="00FC218A"/>
    <w:rsid w:val="00FC295E"/>
    <w:rsid w:val="00FC2A99"/>
    <w:rsid w:val="00FC2EE6"/>
    <w:rsid w:val="00FC2F58"/>
    <w:rsid w:val="00FC2F65"/>
    <w:rsid w:val="00FC3554"/>
    <w:rsid w:val="00FC3909"/>
    <w:rsid w:val="00FC3A11"/>
    <w:rsid w:val="00FC3E83"/>
    <w:rsid w:val="00FC4947"/>
    <w:rsid w:val="00FC495C"/>
    <w:rsid w:val="00FC4BE7"/>
    <w:rsid w:val="00FC4C8E"/>
    <w:rsid w:val="00FC4CAB"/>
    <w:rsid w:val="00FC4E8D"/>
    <w:rsid w:val="00FC4EF3"/>
    <w:rsid w:val="00FC594E"/>
    <w:rsid w:val="00FC6031"/>
    <w:rsid w:val="00FC619B"/>
    <w:rsid w:val="00FC6293"/>
    <w:rsid w:val="00FC6962"/>
    <w:rsid w:val="00FC6C31"/>
    <w:rsid w:val="00FC6C65"/>
    <w:rsid w:val="00FC73F2"/>
    <w:rsid w:val="00FC7410"/>
    <w:rsid w:val="00FC7932"/>
    <w:rsid w:val="00FC7D8A"/>
    <w:rsid w:val="00FD004D"/>
    <w:rsid w:val="00FD01E8"/>
    <w:rsid w:val="00FD03BA"/>
    <w:rsid w:val="00FD0956"/>
    <w:rsid w:val="00FD0AFD"/>
    <w:rsid w:val="00FD0D9C"/>
    <w:rsid w:val="00FD15B8"/>
    <w:rsid w:val="00FD16AD"/>
    <w:rsid w:val="00FD1AF0"/>
    <w:rsid w:val="00FD1C38"/>
    <w:rsid w:val="00FD1EFD"/>
    <w:rsid w:val="00FD2607"/>
    <w:rsid w:val="00FD2691"/>
    <w:rsid w:val="00FD2CDF"/>
    <w:rsid w:val="00FD3370"/>
    <w:rsid w:val="00FD3455"/>
    <w:rsid w:val="00FD3733"/>
    <w:rsid w:val="00FD3829"/>
    <w:rsid w:val="00FD3C09"/>
    <w:rsid w:val="00FD3C6D"/>
    <w:rsid w:val="00FD444C"/>
    <w:rsid w:val="00FD4487"/>
    <w:rsid w:val="00FD49B1"/>
    <w:rsid w:val="00FD5113"/>
    <w:rsid w:val="00FD5329"/>
    <w:rsid w:val="00FD5B84"/>
    <w:rsid w:val="00FD5DF7"/>
    <w:rsid w:val="00FD6364"/>
    <w:rsid w:val="00FD6706"/>
    <w:rsid w:val="00FD6BEA"/>
    <w:rsid w:val="00FD72C5"/>
    <w:rsid w:val="00FD7447"/>
    <w:rsid w:val="00FD750D"/>
    <w:rsid w:val="00FD783B"/>
    <w:rsid w:val="00FE02DB"/>
    <w:rsid w:val="00FE048A"/>
    <w:rsid w:val="00FE0B43"/>
    <w:rsid w:val="00FE0DC1"/>
    <w:rsid w:val="00FE0E25"/>
    <w:rsid w:val="00FE10EA"/>
    <w:rsid w:val="00FE1B1C"/>
    <w:rsid w:val="00FE1C5C"/>
    <w:rsid w:val="00FE288C"/>
    <w:rsid w:val="00FE3727"/>
    <w:rsid w:val="00FE3823"/>
    <w:rsid w:val="00FE3A63"/>
    <w:rsid w:val="00FE3B42"/>
    <w:rsid w:val="00FE3BD1"/>
    <w:rsid w:val="00FE455E"/>
    <w:rsid w:val="00FE4613"/>
    <w:rsid w:val="00FE48A8"/>
    <w:rsid w:val="00FE4EC8"/>
    <w:rsid w:val="00FE5F8D"/>
    <w:rsid w:val="00FE600D"/>
    <w:rsid w:val="00FE6923"/>
    <w:rsid w:val="00FE6927"/>
    <w:rsid w:val="00FE6AEE"/>
    <w:rsid w:val="00FE6E10"/>
    <w:rsid w:val="00FE6F5A"/>
    <w:rsid w:val="00FE77BE"/>
    <w:rsid w:val="00FF04E7"/>
    <w:rsid w:val="00FF0737"/>
    <w:rsid w:val="00FF1677"/>
    <w:rsid w:val="00FF19D1"/>
    <w:rsid w:val="00FF1FE6"/>
    <w:rsid w:val="00FF221C"/>
    <w:rsid w:val="00FF26FE"/>
    <w:rsid w:val="00FF2ABB"/>
    <w:rsid w:val="00FF316B"/>
    <w:rsid w:val="00FF31EE"/>
    <w:rsid w:val="00FF3448"/>
    <w:rsid w:val="00FF3662"/>
    <w:rsid w:val="00FF3799"/>
    <w:rsid w:val="00FF3DB2"/>
    <w:rsid w:val="00FF4755"/>
    <w:rsid w:val="00FF497C"/>
    <w:rsid w:val="00FF4DCE"/>
    <w:rsid w:val="00FF58E4"/>
    <w:rsid w:val="00FF5B7E"/>
    <w:rsid w:val="00FF5D7A"/>
    <w:rsid w:val="00FF6040"/>
    <w:rsid w:val="00FF7032"/>
    <w:rsid w:val="00FF7041"/>
    <w:rsid w:val="00FF7133"/>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024FB"/>
  <w15:docId w15:val="{8F12D428-ABE4-4789-9542-81930A78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4D7C"/>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34D7C"/>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34D7C"/>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D7C"/>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934D7C"/>
    <w:rPr>
      <w:rFonts w:ascii="Times New Roman" w:hAnsi="Times New Roman"/>
      <w:b/>
      <w:sz w:val="24"/>
    </w:rPr>
  </w:style>
  <w:style w:type="paragraph" w:styleId="Title">
    <w:name w:val="Title"/>
    <w:basedOn w:val="Normal"/>
    <w:next w:val="Normal"/>
    <w:link w:val="TitleChar"/>
    <w:uiPriority w:val="10"/>
    <w:qFormat/>
    <w:rsid w:val="00934D7C"/>
    <w:pPr>
      <w:contextualSpacing/>
    </w:pPr>
    <w:rPr>
      <w:rFonts w:asciiTheme="majorHAnsi" w:eastAsiaTheme="majorEastAsia" w:hAnsiTheme="majorHAnsi" w:cstheme="majorBidi"/>
      <w:spacing w:val="-10"/>
      <w:kern w:val="28"/>
      <w:sz w:val="48"/>
      <w:szCs w:val="56"/>
      <w:u w:val="single"/>
    </w:rPr>
  </w:style>
  <w:style w:type="character" w:customStyle="1" w:styleId="TitleChar">
    <w:name w:val="Title Char"/>
    <w:basedOn w:val="DefaultParagraphFont"/>
    <w:link w:val="Title"/>
    <w:uiPriority w:val="10"/>
    <w:rsid w:val="00934D7C"/>
    <w:rPr>
      <w:rFonts w:asciiTheme="majorHAnsi" w:eastAsiaTheme="majorEastAsia" w:hAnsiTheme="majorHAnsi" w:cstheme="majorBidi"/>
      <w:spacing w:val="-10"/>
      <w:kern w:val="28"/>
      <w:sz w:val="48"/>
      <w:szCs w:val="56"/>
      <w:u w:val="single"/>
    </w:rPr>
  </w:style>
  <w:style w:type="paragraph" w:styleId="ListParagraph">
    <w:name w:val="List Paragraph"/>
    <w:basedOn w:val="Normal"/>
    <w:uiPriority w:val="34"/>
    <w:qFormat/>
    <w:rsid w:val="003C4D83"/>
    <w:pPr>
      <w:ind w:left="720"/>
      <w:contextualSpacing/>
    </w:pPr>
  </w:style>
  <w:style w:type="character" w:styleId="Hyperlink">
    <w:name w:val="Hyperlink"/>
    <w:basedOn w:val="DefaultParagraphFont"/>
    <w:uiPriority w:val="99"/>
    <w:unhideWhenUsed/>
    <w:rsid w:val="0057254D"/>
    <w:rPr>
      <w:color w:val="0563C1" w:themeColor="hyperlink"/>
      <w:u w:val="single"/>
    </w:rPr>
  </w:style>
  <w:style w:type="paragraph" w:styleId="BalloonText">
    <w:name w:val="Balloon Text"/>
    <w:basedOn w:val="Normal"/>
    <w:link w:val="BalloonTextChar"/>
    <w:uiPriority w:val="99"/>
    <w:semiHidden/>
    <w:unhideWhenUsed/>
    <w:rsid w:val="004A7462"/>
    <w:rPr>
      <w:rFonts w:ascii="Tahoma" w:hAnsi="Tahoma" w:cs="Tahoma"/>
      <w:sz w:val="16"/>
      <w:szCs w:val="16"/>
    </w:rPr>
  </w:style>
  <w:style w:type="character" w:customStyle="1" w:styleId="BalloonTextChar">
    <w:name w:val="Balloon Text Char"/>
    <w:basedOn w:val="DefaultParagraphFont"/>
    <w:link w:val="BalloonText"/>
    <w:uiPriority w:val="99"/>
    <w:semiHidden/>
    <w:rsid w:val="004A7462"/>
    <w:rPr>
      <w:rFonts w:ascii="Tahoma" w:hAnsi="Tahoma" w:cs="Tahoma"/>
      <w:sz w:val="16"/>
      <w:szCs w:val="16"/>
    </w:rPr>
  </w:style>
  <w:style w:type="character" w:styleId="CommentReference">
    <w:name w:val="annotation reference"/>
    <w:basedOn w:val="DefaultParagraphFont"/>
    <w:uiPriority w:val="99"/>
    <w:semiHidden/>
    <w:unhideWhenUsed/>
    <w:rsid w:val="005E3B0E"/>
    <w:rPr>
      <w:sz w:val="16"/>
      <w:szCs w:val="16"/>
    </w:rPr>
  </w:style>
  <w:style w:type="paragraph" w:styleId="CommentText">
    <w:name w:val="annotation text"/>
    <w:basedOn w:val="Normal"/>
    <w:link w:val="CommentTextChar"/>
    <w:uiPriority w:val="99"/>
    <w:unhideWhenUsed/>
    <w:rsid w:val="005E3B0E"/>
    <w:rPr>
      <w:sz w:val="20"/>
      <w:szCs w:val="20"/>
    </w:rPr>
  </w:style>
  <w:style w:type="character" w:customStyle="1" w:styleId="CommentTextChar">
    <w:name w:val="Comment Text Char"/>
    <w:basedOn w:val="DefaultParagraphFont"/>
    <w:link w:val="CommentText"/>
    <w:uiPriority w:val="99"/>
    <w:rsid w:val="005E3B0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3B0E"/>
    <w:rPr>
      <w:b/>
      <w:bCs/>
    </w:rPr>
  </w:style>
  <w:style w:type="character" w:customStyle="1" w:styleId="CommentSubjectChar">
    <w:name w:val="Comment Subject Char"/>
    <w:basedOn w:val="CommentTextChar"/>
    <w:link w:val="CommentSubject"/>
    <w:uiPriority w:val="99"/>
    <w:semiHidden/>
    <w:rsid w:val="005E3B0E"/>
    <w:rPr>
      <w:rFonts w:ascii="Times New Roman" w:hAnsi="Times New Roman"/>
      <w:b/>
      <w:bCs/>
      <w:sz w:val="20"/>
      <w:szCs w:val="20"/>
    </w:rPr>
  </w:style>
  <w:style w:type="paragraph" w:styleId="FootnoteText">
    <w:name w:val="footnote text"/>
    <w:basedOn w:val="Normal"/>
    <w:link w:val="FootnoteTextChar"/>
    <w:uiPriority w:val="99"/>
    <w:semiHidden/>
    <w:unhideWhenUsed/>
    <w:rsid w:val="00F02F95"/>
    <w:rPr>
      <w:sz w:val="20"/>
      <w:szCs w:val="20"/>
    </w:rPr>
  </w:style>
  <w:style w:type="character" w:customStyle="1" w:styleId="FootnoteTextChar">
    <w:name w:val="Footnote Text Char"/>
    <w:basedOn w:val="DefaultParagraphFont"/>
    <w:link w:val="FootnoteText"/>
    <w:uiPriority w:val="99"/>
    <w:semiHidden/>
    <w:rsid w:val="00F02F95"/>
    <w:rPr>
      <w:rFonts w:ascii="Times New Roman" w:hAnsi="Times New Roman"/>
      <w:sz w:val="20"/>
      <w:szCs w:val="20"/>
    </w:rPr>
  </w:style>
  <w:style w:type="character" w:styleId="FootnoteReference">
    <w:name w:val="footnote reference"/>
    <w:basedOn w:val="DefaultParagraphFont"/>
    <w:uiPriority w:val="99"/>
    <w:semiHidden/>
    <w:unhideWhenUsed/>
    <w:rsid w:val="00F02F95"/>
    <w:rPr>
      <w:vertAlign w:val="superscript"/>
    </w:rPr>
  </w:style>
  <w:style w:type="paragraph" w:styleId="NoSpacing">
    <w:name w:val="No Spacing"/>
    <w:uiPriority w:val="1"/>
    <w:qFormat/>
    <w:rsid w:val="00C25D95"/>
    <w:pPr>
      <w:spacing w:after="0" w:line="240" w:lineRule="auto"/>
    </w:pPr>
    <w:rPr>
      <w:rFonts w:ascii="Times New Roman" w:hAnsi="Times New Roman"/>
      <w:sz w:val="24"/>
    </w:rPr>
  </w:style>
  <w:style w:type="paragraph" w:styleId="Header">
    <w:name w:val="header"/>
    <w:basedOn w:val="Normal"/>
    <w:link w:val="HeaderChar"/>
    <w:uiPriority w:val="99"/>
    <w:unhideWhenUsed/>
    <w:rsid w:val="00A73C6D"/>
    <w:pPr>
      <w:tabs>
        <w:tab w:val="center" w:pos="4680"/>
        <w:tab w:val="right" w:pos="9360"/>
      </w:tabs>
    </w:pPr>
  </w:style>
  <w:style w:type="character" w:customStyle="1" w:styleId="HeaderChar">
    <w:name w:val="Header Char"/>
    <w:basedOn w:val="DefaultParagraphFont"/>
    <w:link w:val="Header"/>
    <w:uiPriority w:val="99"/>
    <w:rsid w:val="00A73C6D"/>
    <w:rPr>
      <w:rFonts w:ascii="Times New Roman" w:hAnsi="Times New Roman"/>
      <w:sz w:val="24"/>
    </w:rPr>
  </w:style>
  <w:style w:type="paragraph" w:styleId="Footer">
    <w:name w:val="footer"/>
    <w:basedOn w:val="Normal"/>
    <w:link w:val="FooterChar"/>
    <w:uiPriority w:val="99"/>
    <w:unhideWhenUsed/>
    <w:rsid w:val="00A73C6D"/>
    <w:pPr>
      <w:tabs>
        <w:tab w:val="center" w:pos="4680"/>
        <w:tab w:val="right" w:pos="9360"/>
      </w:tabs>
    </w:pPr>
  </w:style>
  <w:style w:type="character" w:customStyle="1" w:styleId="FooterChar">
    <w:name w:val="Footer Char"/>
    <w:basedOn w:val="DefaultParagraphFont"/>
    <w:link w:val="Footer"/>
    <w:uiPriority w:val="99"/>
    <w:rsid w:val="00A73C6D"/>
    <w:rPr>
      <w:rFonts w:ascii="Times New Roman" w:hAnsi="Times New Roman"/>
      <w:sz w:val="24"/>
    </w:rPr>
  </w:style>
  <w:style w:type="paragraph" w:customStyle="1" w:styleId="EndNoteBibliography">
    <w:name w:val="EndNote Bibliography"/>
    <w:basedOn w:val="Normal"/>
    <w:link w:val="EndNoteBibliographyChar"/>
    <w:rsid w:val="000376B3"/>
    <w:rPr>
      <w:rFonts w:eastAsia="Calibri" w:cs="Times New Roman"/>
      <w:noProof/>
    </w:rPr>
  </w:style>
  <w:style w:type="character" w:customStyle="1" w:styleId="EndNoteBibliographyChar">
    <w:name w:val="EndNote Bibliography Char"/>
    <w:link w:val="EndNoteBibliography"/>
    <w:rsid w:val="000376B3"/>
    <w:rPr>
      <w:rFonts w:ascii="Times New Roman" w:eastAsia="Calibri" w:hAnsi="Times New Roman" w:cs="Times New Roman"/>
      <w:noProof/>
      <w:sz w:val="24"/>
    </w:rPr>
  </w:style>
  <w:style w:type="paragraph" w:styleId="Revision">
    <w:name w:val="Revision"/>
    <w:hidden/>
    <w:uiPriority w:val="99"/>
    <w:semiHidden/>
    <w:rsid w:val="00C30DB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6494">
      <w:bodyDiv w:val="1"/>
      <w:marLeft w:val="0"/>
      <w:marRight w:val="0"/>
      <w:marTop w:val="0"/>
      <w:marBottom w:val="0"/>
      <w:divBdr>
        <w:top w:val="none" w:sz="0" w:space="0" w:color="auto"/>
        <w:left w:val="none" w:sz="0" w:space="0" w:color="auto"/>
        <w:bottom w:val="none" w:sz="0" w:space="0" w:color="auto"/>
        <w:right w:val="none" w:sz="0" w:space="0" w:color="auto"/>
      </w:divBdr>
    </w:div>
    <w:div w:id="417950161">
      <w:bodyDiv w:val="1"/>
      <w:marLeft w:val="0"/>
      <w:marRight w:val="0"/>
      <w:marTop w:val="0"/>
      <w:marBottom w:val="0"/>
      <w:divBdr>
        <w:top w:val="none" w:sz="0" w:space="0" w:color="auto"/>
        <w:left w:val="none" w:sz="0" w:space="0" w:color="auto"/>
        <w:bottom w:val="none" w:sz="0" w:space="0" w:color="auto"/>
        <w:right w:val="none" w:sz="0" w:space="0" w:color="auto"/>
      </w:divBdr>
    </w:div>
    <w:div w:id="497379402">
      <w:bodyDiv w:val="1"/>
      <w:marLeft w:val="0"/>
      <w:marRight w:val="0"/>
      <w:marTop w:val="0"/>
      <w:marBottom w:val="0"/>
      <w:divBdr>
        <w:top w:val="none" w:sz="0" w:space="0" w:color="auto"/>
        <w:left w:val="none" w:sz="0" w:space="0" w:color="auto"/>
        <w:bottom w:val="none" w:sz="0" w:space="0" w:color="auto"/>
        <w:right w:val="none" w:sz="0" w:space="0" w:color="auto"/>
      </w:divBdr>
    </w:div>
    <w:div w:id="1110203984">
      <w:bodyDiv w:val="1"/>
      <w:marLeft w:val="0"/>
      <w:marRight w:val="0"/>
      <w:marTop w:val="0"/>
      <w:marBottom w:val="0"/>
      <w:divBdr>
        <w:top w:val="none" w:sz="0" w:space="0" w:color="auto"/>
        <w:left w:val="none" w:sz="0" w:space="0" w:color="auto"/>
        <w:bottom w:val="none" w:sz="0" w:space="0" w:color="auto"/>
        <w:right w:val="none" w:sz="0" w:space="0" w:color="auto"/>
      </w:divBdr>
      <w:divsChild>
        <w:div w:id="2110808261">
          <w:marLeft w:val="547"/>
          <w:marRight w:val="0"/>
          <w:marTop w:val="120"/>
          <w:marBottom w:val="0"/>
          <w:divBdr>
            <w:top w:val="none" w:sz="0" w:space="0" w:color="auto"/>
            <w:left w:val="none" w:sz="0" w:space="0" w:color="auto"/>
            <w:bottom w:val="none" w:sz="0" w:space="0" w:color="auto"/>
            <w:right w:val="none" w:sz="0" w:space="0" w:color="auto"/>
          </w:divBdr>
        </w:div>
        <w:div w:id="1785616822">
          <w:marLeft w:val="547"/>
          <w:marRight w:val="0"/>
          <w:marTop w:val="120"/>
          <w:marBottom w:val="0"/>
          <w:divBdr>
            <w:top w:val="none" w:sz="0" w:space="0" w:color="auto"/>
            <w:left w:val="none" w:sz="0" w:space="0" w:color="auto"/>
            <w:bottom w:val="none" w:sz="0" w:space="0" w:color="auto"/>
            <w:right w:val="none" w:sz="0" w:space="0" w:color="auto"/>
          </w:divBdr>
        </w:div>
        <w:div w:id="1140264926">
          <w:marLeft w:val="547"/>
          <w:marRight w:val="0"/>
          <w:marTop w:val="120"/>
          <w:marBottom w:val="0"/>
          <w:divBdr>
            <w:top w:val="none" w:sz="0" w:space="0" w:color="auto"/>
            <w:left w:val="none" w:sz="0" w:space="0" w:color="auto"/>
            <w:bottom w:val="none" w:sz="0" w:space="0" w:color="auto"/>
            <w:right w:val="none" w:sz="0" w:space="0" w:color="auto"/>
          </w:divBdr>
        </w:div>
      </w:divsChild>
    </w:div>
    <w:div w:id="1114330567">
      <w:bodyDiv w:val="1"/>
      <w:marLeft w:val="0"/>
      <w:marRight w:val="0"/>
      <w:marTop w:val="0"/>
      <w:marBottom w:val="0"/>
      <w:divBdr>
        <w:top w:val="none" w:sz="0" w:space="0" w:color="auto"/>
        <w:left w:val="none" w:sz="0" w:space="0" w:color="auto"/>
        <w:bottom w:val="none" w:sz="0" w:space="0" w:color="auto"/>
        <w:right w:val="none" w:sz="0" w:space="0" w:color="auto"/>
      </w:divBdr>
    </w:div>
    <w:div w:id="1220439945">
      <w:bodyDiv w:val="1"/>
      <w:marLeft w:val="0"/>
      <w:marRight w:val="0"/>
      <w:marTop w:val="0"/>
      <w:marBottom w:val="0"/>
      <w:divBdr>
        <w:top w:val="none" w:sz="0" w:space="0" w:color="auto"/>
        <w:left w:val="none" w:sz="0" w:space="0" w:color="auto"/>
        <w:bottom w:val="none" w:sz="0" w:space="0" w:color="auto"/>
        <w:right w:val="none" w:sz="0" w:space="0" w:color="auto"/>
      </w:divBdr>
    </w:div>
    <w:div w:id="1832868541">
      <w:bodyDiv w:val="1"/>
      <w:marLeft w:val="0"/>
      <w:marRight w:val="0"/>
      <w:marTop w:val="0"/>
      <w:marBottom w:val="0"/>
      <w:divBdr>
        <w:top w:val="none" w:sz="0" w:space="0" w:color="auto"/>
        <w:left w:val="none" w:sz="0" w:space="0" w:color="auto"/>
        <w:bottom w:val="none" w:sz="0" w:space="0" w:color="auto"/>
        <w:right w:val="none" w:sz="0" w:space="0" w:color="auto"/>
      </w:divBdr>
    </w:div>
    <w:div w:id="2018847818">
      <w:bodyDiv w:val="1"/>
      <w:marLeft w:val="0"/>
      <w:marRight w:val="0"/>
      <w:marTop w:val="0"/>
      <w:marBottom w:val="0"/>
      <w:divBdr>
        <w:top w:val="none" w:sz="0" w:space="0" w:color="auto"/>
        <w:left w:val="none" w:sz="0" w:space="0" w:color="auto"/>
        <w:bottom w:val="none" w:sz="0" w:space="0" w:color="auto"/>
        <w:right w:val="none" w:sz="0" w:space="0" w:color="auto"/>
      </w:divBdr>
    </w:div>
    <w:div w:id="2103718782">
      <w:bodyDiv w:val="1"/>
      <w:marLeft w:val="0"/>
      <w:marRight w:val="0"/>
      <w:marTop w:val="0"/>
      <w:marBottom w:val="0"/>
      <w:divBdr>
        <w:top w:val="none" w:sz="0" w:space="0" w:color="auto"/>
        <w:left w:val="none" w:sz="0" w:space="0" w:color="auto"/>
        <w:bottom w:val="none" w:sz="0" w:space="0" w:color="auto"/>
        <w:right w:val="none" w:sz="0" w:space="0" w:color="auto"/>
      </w:divBdr>
    </w:div>
    <w:div w:id="21213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1D56-BB00-4D31-A6D5-261C737E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10417</Words>
  <Characters>59379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69657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Guntzviller</dc:creator>
  <cp:lastModifiedBy>Lisa Guntzviller</cp:lastModifiedBy>
  <cp:revision>5</cp:revision>
  <dcterms:created xsi:type="dcterms:W3CDTF">2017-07-04T07:12:00Z</dcterms:created>
  <dcterms:modified xsi:type="dcterms:W3CDTF">2017-07-04T15:08:00Z</dcterms:modified>
</cp:coreProperties>
</file>