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1B" w:rsidRDefault="00A3001B" w:rsidP="00E83FAE">
      <w:pPr>
        <w:spacing w:line="480" w:lineRule="auto"/>
        <w:jc w:val="center"/>
      </w:pPr>
    </w:p>
    <w:p w:rsidR="00A3001B" w:rsidRDefault="00A3001B" w:rsidP="00E83FAE">
      <w:pPr>
        <w:spacing w:line="480" w:lineRule="auto"/>
        <w:jc w:val="center"/>
      </w:pPr>
    </w:p>
    <w:p w:rsidR="00A3001B" w:rsidRDefault="00A3001B" w:rsidP="00E83FAE">
      <w:pPr>
        <w:spacing w:line="480" w:lineRule="auto"/>
        <w:jc w:val="center"/>
      </w:pPr>
    </w:p>
    <w:p w:rsidR="008F756F" w:rsidRDefault="008F756F" w:rsidP="00E83FAE">
      <w:pPr>
        <w:spacing w:line="480" w:lineRule="auto"/>
        <w:jc w:val="center"/>
      </w:pPr>
      <w:r>
        <w:t xml:space="preserve">Self-Efficacy, Health Literacy, and Nutrition and Exercise Behaviors </w:t>
      </w:r>
    </w:p>
    <w:p w:rsidR="00A3001B" w:rsidRDefault="008F756F" w:rsidP="00E83FAE">
      <w:pPr>
        <w:spacing w:line="480" w:lineRule="auto"/>
        <w:jc w:val="center"/>
      </w:pPr>
      <w:r>
        <w:t>in a Low-Income, Hispanic Population</w:t>
      </w:r>
    </w:p>
    <w:p w:rsidR="00A3001B" w:rsidRPr="001C4A29" w:rsidRDefault="00A3001B" w:rsidP="001C4A29">
      <w:pPr>
        <w:jc w:val="center"/>
        <w:rPr>
          <w:vertAlign w:val="superscript"/>
        </w:rPr>
      </w:pPr>
      <w:r>
        <w:t>Lisa M. Guntzviller</w:t>
      </w:r>
      <w:r w:rsidR="001C4A29">
        <w:rPr>
          <w:vertAlign w:val="superscript"/>
        </w:rPr>
        <w:t>1</w:t>
      </w:r>
    </w:p>
    <w:p w:rsidR="001C4A29" w:rsidRDefault="001C4A29" w:rsidP="001C4A29">
      <w:pPr>
        <w:jc w:val="center"/>
      </w:pPr>
      <w:hyperlink r:id="rId7" w:history="1">
        <w:r w:rsidRPr="00783EA6">
          <w:rPr>
            <w:rStyle w:val="Hyperlink"/>
          </w:rPr>
          <w:t>lguntzviller@gmail.com</w:t>
        </w:r>
      </w:hyperlink>
    </w:p>
    <w:p w:rsidR="001C4A29" w:rsidRPr="001C4A29" w:rsidRDefault="001C4A29" w:rsidP="001C4A29">
      <w:pPr>
        <w:jc w:val="center"/>
        <w:rPr>
          <w:vertAlign w:val="superscript"/>
        </w:rPr>
      </w:pPr>
      <w:r>
        <w:br/>
        <w:t>Andy J. King</w:t>
      </w:r>
      <w:r>
        <w:rPr>
          <w:vertAlign w:val="superscript"/>
        </w:rPr>
        <w:t>2</w:t>
      </w:r>
    </w:p>
    <w:p w:rsidR="001C4A29" w:rsidRDefault="001C4A29" w:rsidP="001C4A29">
      <w:pPr>
        <w:jc w:val="center"/>
      </w:pPr>
      <w:hyperlink r:id="rId8" w:history="1">
        <w:r w:rsidRPr="00783EA6">
          <w:rPr>
            <w:rStyle w:val="Hyperlink"/>
          </w:rPr>
          <w:t>andy.king@ttu.edu</w:t>
        </w:r>
      </w:hyperlink>
    </w:p>
    <w:p w:rsidR="001C4A29" w:rsidRDefault="001C4A29" w:rsidP="001C4A29">
      <w:pPr>
        <w:jc w:val="center"/>
      </w:pPr>
    </w:p>
    <w:p w:rsidR="001C4A29" w:rsidRDefault="001C4A29" w:rsidP="001C4A29">
      <w:pPr>
        <w:jc w:val="center"/>
      </w:pPr>
      <w:r>
        <w:t>Jakob D. Jensen</w:t>
      </w:r>
      <w:r>
        <w:rPr>
          <w:vertAlign w:val="superscript"/>
        </w:rPr>
        <w:t>3</w:t>
      </w:r>
    </w:p>
    <w:p w:rsidR="001C4A29" w:rsidRDefault="001C4A29" w:rsidP="001C4A29">
      <w:pPr>
        <w:jc w:val="center"/>
      </w:pPr>
      <w:hyperlink r:id="rId9" w:history="1">
        <w:r w:rsidRPr="00783EA6">
          <w:rPr>
            <w:rStyle w:val="Hyperlink"/>
          </w:rPr>
          <w:t>jakobdjensen@gmail.com</w:t>
        </w:r>
      </w:hyperlink>
    </w:p>
    <w:p w:rsidR="001C4A29" w:rsidRPr="001C4A29" w:rsidRDefault="001C4A29" w:rsidP="001C4A29">
      <w:pPr>
        <w:jc w:val="center"/>
      </w:pPr>
    </w:p>
    <w:p w:rsidR="001C4A29" w:rsidRDefault="001C4A29" w:rsidP="001C4A29">
      <w:pPr>
        <w:jc w:val="center"/>
      </w:pPr>
      <w:r>
        <w:t>LaShara A. Davis</w:t>
      </w:r>
      <w:r>
        <w:rPr>
          <w:vertAlign w:val="superscript"/>
        </w:rPr>
        <w:t>4</w:t>
      </w:r>
    </w:p>
    <w:p w:rsidR="001C4A29" w:rsidRDefault="001C4A29" w:rsidP="001C4A29">
      <w:pPr>
        <w:jc w:val="center"/>
      </w:pPr>
      <w:hyperlink r:id="rId10" w:history="1">
        <w:r w:rsidRPr="00783EA6">
          <w:rPr>
            <w:rStyle w:val="Hyperlink"/>
          </w:rPr>
          <w:t>davis.lashara@gmail.com</w:t>
        </w:r>
      </w:hyperlink>
    </w:p>
    <w:p w:rsidR="001C4A29" w:rsidRPr="001C4A29" w:rsidRDefault="001C4A29" w:rsidP="001C4A29">
      <w:pPr>
        <w:jc w:val="center"/>
      </w:pPr>
    </w:p>
    <w:p w:rsidR="00A3001B" w:rsidRDefault="00A3001B" w:rsidP="00A3001B">
      <w:pPr>
        <w:spacing w:after="160" w:line="259" w:lineRule="auto"/>
        <w:jc w:val="center"/>
        <w:rPr>
          <w:i/>
        </w:rPr>
      </w:pPr>
      <w:r>
        <w:rPr>
          <w:i/>
        </w:rPr>
        <w:t>Final Accepted Manuscript</w:t>
      </w:r>
    </w:p>
    <w:p w:rsidR="00A3001B" w:rsidRDefault="00FA2E55" w:rsidP="00A3001B">
      <w:pPr>
        <w:spacing w:after="160" w:line="259" w:lineRule="auto"/>
      </w:pPr>
      <w:r>
        <w:rPr>
          <w:vertAlign w:val="superscript"/>
        </w:rPr>
        <w:t>1</w:t>
      </w:r>
      <w:r>
        <w:t>Department of Communication, University of Illinois at Urbana-Champaign, 3001 Lincoln Hall, 702 S. Wright St., Urbana, IL 61801 USA</w:t>
      </w:r>
    </w:p>
    <w:p w:rsidR="00FA2E55" w:rsidRDefault="00FA2E55" w:rsidP="00A3001B">
      <w:pPr>
        <w:spacing w:after="160" w:line="259" w:lineRule="auto"/>
      </w:pPr>
      <w:r>
        <w:rPr>
          <w:vertAlign w:val="superscript"/>
        </w:rPr>
        <w:t>2</w:t>
      </w:r>
      <w:r>
        <w:t>Department of Public Relations, Texas Tech University, Lubbock, TX, USA</w:t>
      </w:r>
    </w:p>
    <w:p w:rsidR="00FA2E55" w:rsidRDefault="00FA2E55" w:rsidP="00A3001B">
      <w:pPr>
        <w:spacing w:after="160" w:line="259" w:lineRule="auto"/>
      </w:pPr>
      <w:r>
        <w:rPr>
          <w:vertAlign w:val="superscript"/>
        </w:rPr>
        <w:t>3</w:t>
      </w:r>
      <w:r>
        <w:t>Department of Communication, University of Utah, Salt Lake City, UT, USA</w:t>
      </w:r>
    </w:p>
    <w:p w:rsidR="009A61D1" w:rsidRPr="009A61D1" w:rsidRDefault="009A61D1" w:rsidP="00A3001B">
      <w:pPr>
        <w:spacing w:after="160" w:line="259" w:lineRule="auto"/>
      </w:pPr>
      <w:r>
        <w:rPr>
          <w:vertAlign w:val="superscript"/>
        </w:rPr>
        <w:t>4</w:t>
      </w:r>
      <w:r>
        <w:t>Saint Barnabas Medical Center, Livingston, NJ, USA</w:t>
      </w:r>
    </w:p>
    <w:p w:rsidR="00A3001B" w:rsidRPr="00D40497" w:rsidRDefault="00A3001B" w:rsidP="00A3001B">
      <w:pPr>
        <w:spacing w:after="160" w:line="259" w:lineRule="auto"/>
        <w:rPr>
          <w:u w:val="single"/>
        </w:rPr>
      </w:pPr>
      <w:r w:rsidRPr="00D40497">
        <w:rPr>
          <w:u w:val="single"/>
        </w:rPr>
        <w:t>Citation:</w:t>
      </w:r>
    </w:p>
    <w:p w:rsidR="00A3001B" w:rsidRDefault="00A3001B" w:rsidP="00A3001B">
      <w:pPr>
        <w:autoSpaceDE w:val="0"/>
        <w:autoSpaceDN w:val="0"/>
        <w:adjustRightInd w:val="0"/>
        <w:ind w:left="720" w:hanging="720"/>
      </w:pPr>
      <w:r w:rsidRPr="00A3001B">
        <w:t>Guntzviller, L. M.,</w:t>
      </w:r>
      <w:r w:rsidRPr="005D1CC6">
        <w:rPr>
          <w:b/>
        </w:rPr>
        <w:t xml:space="preserve"> </w:t>
      </w:r>
      <w:r w:rsidRPr="005D1CC6">
        <w:t>King, A. J., Jensen, J. D., &amp; Davis, L. A. (</w:t>
      </w:r>
      <w:r>
        <w:rPr>
          <w:color w:val="222222"/>
          <w:shd w:val="clear" w:color="auto" w:fill="FFFFFF"/>
        </w:rPr>
        <w:t>2016</w:t>
      </w:r>
      <w:r w:rsidRPr="005D1CC6">
        <w:t xml:space="preserve">). Self-efficacy, health literacy, and nutrition and exercise behaviors in a low-income, Hispanic population. </w:t>
      </w:r>
      <w:r w:rsidRPr="000D0B7C">
        <w:rPr>
          <w:i/>
        </w:rPr>
        <w:t xml:space="preserve">Journal of Immigrant and </w:t>
      </w:r>
      <w:r w:rsidRPr="00FE07BB">
        <w:rPr>
          <w:i/>
        </w:rPr>
        <w:t>Minority Health</w:t>
      </w:r>
      <w:r w:rsidRPr="00FE07BB">
        <w:t>. Advance online publication.</w:t>
      </w:r>
      <w:r>
        <w:t xml:space="preserve"> doi: </w:t>
      </w:r>
      <w:r w:rsidRPr="005D1CC6">
        <w:t>10.1007/s10903-016-0384-4</w:t>
      </w:r>
    </w:p>
    <w:p w:rsidR="00A3001B" w:rsidRPr="00A3001B" w:rsidRDefault="00A3001B" w:rsidP="00A3001B">
      <w:pPr>
        <w:spacing w:after="160" w:line="259" w:lineRule="auto"/>
      </w:pPr>
    </w:p>
    <w:p w:rsidR="008F756F" w:rsidRDefault="008F756F" w:rsidP="00E83FAE">
      <w:pPr>
        <w:spacing w:line="480" w:lineRule="auto"/>
        <w:jc w:val="center"/>
      </w:pPr>
    </w:p>
    <w:p w:rsidR="00A3001B" w:rsidRDefault="00A3001B">
      <w:pPr>
        <w:spacing w:after="160" w:line="259" w:lineRule="auto"/>
        <w:rPr>
          <w:b/>
        </w:rPr>
      </w:pPr>
      <w:r>
        <w:rPr>
          <w:b/>
        </w:rPr>
        <w:br w:type="page"/>
      </w:r>
    </w:p>
    <w:p w:rsidR="008F756F" w:rsidRDefault="008F756F" w:rsidP="00F963FC">
      <w:pPr>
        <w:pStyle w:val="NoSpacing"/>
        <w:rPr>
          <w:rFonts w:ascii="Times New Roman" w:hAnsi="Times New Roman"/>
          <w:b/>
          <w:sz w:val="24"/>
          <w:szCs w:val="24"/>
        </w:rPr>
      </w:pPr>
      <w:r>
        <w:rPr>
          <w:rFonts w:ascii="Times New Roman" w:hAnsi="Times New Roman"/>
          <w:b/>
          <w:sz w:val="24"/>
          <w:szCs w:val="24"/>
        </w:rPr>
        <w:lastRenderedPageBreak/>
        <w:t>ABSTRACT</w:t>
      </w:r>
    </w:p>
    <w:p w:rsidR="008F756F" w:rsidRPr="00E83FAE" w:rsidRDefault="008F756F" w:rsidP="00F963FC">
      <w:pPr>
        <w:pStyle w:val="NoSpacing"/>
        <w:rPr>
          <w:rFonts w:ascii="Times New Roman" w:hAnsi="Times New Roman"/>
          <w:b/>
          <w:sz w:val="24"/>
          <w:szCs w:val="24"/>
        </w:rPr>
      </w:pPr>
    </w:p>
    <w:p w:rsidR="008F756F" w:rsidRDefault="008F756F" w:rsidP="00E10515">
      <w:pPr>
        <w:pStyle w:val="NoSpacing"/>
        <w:spacing w:line="480" w:lineRule="auto"/>
        <w:rPr>
          <w:rFonts w:ascii="Times New Roman" w:hAnsi="Times New Roman"/>
          <w:i/>
          <w:sz w:val="24"/>
          <w:szCs w:val="24"/>
        </w:rPr>
      </w:pPr>
      <w:r>
        <w:rPr>
          <w:rFonts w:ascii="Times New Roman" w:hAnsi="Times New Roman"/>
          <w:sz w:val="24"/>
          <w:szCs w:val="24"/>
        </w:rPr>
        <w:t xml:space="preserve">Public health goals have emphasized </w:t>
      </w:r>
      <w:r w:rsidRPr="00EE25DA">
        <w:rPr>
          <w:rFonts w:ascii="Times New Roman" w:hAnsi="Times New Roman"/>
          <w:sz w:val="24"/>
          <w:szCs w:val="24"/>
        </w:rPr>
        <w:t xml:space="preserve">healthy </w:t>
      </w:r>
      <w:r>
        <w:rPr>
          <w:rFonts w:ascii="Times New Roman" w:hAnsi="Times New Roman"/>
          <w:sz w:val="24"/>
          <w:szCs w:val="24"/>
        </w:rPr>
        <w:t>nutrition and exercise behaviors, especially in underserved populations</w:t>
      </w:r>
      <w:r w:rsidRPr="00EE25DA">
        <w:rPr>
          <w:rFonts w:ascii="Times New Roman" w:hAnsi="Times New Roman"/>
          <w:sz w:val="24"/>
          <w:szCs w:val="24"/>
        </w:rPr>
        <w:t xml:space="preserve">. </w:t>
      </w:r>
      <w:r w:rsidR="00E10515">
        <w:rPr>
          <w:rFonts w:ascii="Times New Roman" w:hAnsi="Times New Roman"/>
          <w:sz w:val="24"/>
          <w:szCs w:val="24"/>
        </w:rPr>
        <w:t>According to social cognitive theory (SCT), s</w:t>
      </w:r>
      <w:r w:rsidRPr="00EE25DA">
        <w:rPr>
          <w:rFonts w:ascii="Times New Roman" w:hAnsi="Times New Roman"/>
          <w:sz w:val="24"/>
          <w:szCs w:val="24"/>
        </w:rPr>
        <w:t>elf-efficacy</w:t>
      </w:r>
      <w:r>
        <w:rPr>
          <w:rFonts w:ascii="Times New Roman" w:hAnsi="Times New Roman"/>
          <w:sz w:val="24"/>
          <w:szCs w:val="24"/>
        </w:rPr>
        <w:t xml:space="preserve"> and capability (e.g., health literacy) may interact to predict</w:t>
      </w:r>
      <w:r w:rsidRPr="00EE25DA">
        <w:rPr>
          <w:rFonts w:ascii="Times New Roman" w:hAnsi="Times New Roman"/>
          <w:sz w:val="24"/>
          <w:szCs w:val="24"/>
        </w:rPr>
        <w:t xml:space="preserve"> </w:t>
      </w:r>
      <w:r>
        <w:rPr>
          <w:rFonts w:ascii="Times New Roman" w:hAnsi="Times New Roman"/>
          <w:sz w:val="24"/>
          <w:szCs w:val="24"/>
        </w:rPr>
        <w:t>preventative behaviors</w:t>
      </w:r>
      <w:r w:rsidRPr="00EE25DA">
        <w:rPr>
          <w:rFonts w:ascii="Times New Roman" w:hAnsi="Times New Roman"/>
          <w:sz w:val="24"/>
          <w:szCs w:val="24"/>
        </w:rPr>
        <w:t xml:space="preserve">. </w:t>
      </w:r>
      <w:r>
        <w:rPr>
          <w:rFonts w:ascii="Times New Roman" w:hAnsi="Times New Roman"/>
          <w:sz w:val="24"/>
          <w:szCs w:val="24"/>
        </w:rPr>
        <w:t xml:space="preserve">We surveyed </w:t>
      </w:r>
      <w:r w:rsidRPr="00520367">
        <w:rPr>
          <w:rFonts w:ascii="Times New Roman" w:hAnsi="Times New Roman"/>
          <w:sz w:val="24"/>
          <w:szCs w:val="24"/>
        </w:rPr>
        <w:t>100 low-income, native Spanish-speakers living in the United States who were low in English proficiency and predominantly of Mexican heritage</w:t>
      </w:r>
      <w:r>
        <w:rPr>
          <w:rFonts w:ascii="Times New Roman" w:hAnsi="Times New Roman"/>
          <w:sz w:val="24"/>
          <w:szCs w:val="24"/>
        </w:rPr>
        <w:t xml:space="preserve">. Participants reported their </w:t>
      </w:r>
      <w:r w:rsidRPr="00EE25DA">
        <w:rPr>
          <w:rFonts w:ascii="Times New Roman" w:hAnsi="Times New Roman"/>
          <w:sz w:val="24"/>
          <w:szCs w:val="24"/>
        </w:rPr>
        <w:t xml:space="preserve">nutritional and exercise self-efficacy, </w:t>
      </w:r>
      <w:r>
        <w:rPr>
          <w:rFonts w:ascii="Times New Roman" w:hAnsi="Times New Roman"/>
          <w:sz w:val="24"/>
          <w:szCs w:val="24"/>
        </w:rPr>
        <w:t xml:space="preserve">Spanish </w:t>
      </w:r>
      <w:r w:rsidRPr="00EE25DA">
        <w:rPr>
          <w:rFonts w:ascii="Times New Roman" w:hAnsi="Times New Roman"/>
          <w:sz w:val="24"/>
          <w:szCs w:val="24"/>
        </w:rPr>
        <w:t xml:space="preserve">health literacy, and </w:t>
      </w:r>
      <w:r>
        <w:rPr>
          <w:rFonts w:ascii="Times New Roman" w:hAnsi="Times New Roman"/>
          <w:sz w:val="24"/>
          <w:szCs w:val="24"/>
        </w:rPr>
        <w:t>nutrition</w:t>
      </w:r>
      <w:r w:rsidRPr="00EE25DA">
        <w:rPr>
          <w:rFonts w:ascii="Times New Roman" w:hAnsi="Times New Roman"/>
          <w:sz w:val="24"/>
          <w:szCs w:val="24"/>
        </w:rPr>
        <w:t xml:space="preserve"> and physical activity behaviors. Consistent with SCT, the interaction of self-efficacy and health literacy significantly predicted fruit and vegetable consumption </w:t>
      </w:r>
      <w:r>
        <w:rPr>
          <w:rFonts w:ascii="Times New Roman" w:hAnsi="Times New Roman"/>
          <w:sz w:val="24"/>
          <w:szCs w:val="24"/>
        </w:rPr>
        <w:t>and weekly exercise,</w:t>
      </w:r>
      <w:r w:rsidRPr="00EE25DA">
        <w:rPr>
          <w:rFonts w:ascii="Times New Roman" w:hAnsi="Times New Roman"/>
          <w:sz w:val="24"/>
          <w:szCs w:val="24"/>
        </w:rPr>
        <w:t xml:space="preserve"> and marginally predicted avoidance of high fat foods. </w:t>
      </w:r>
      <w:r>
        <w:rPr>
          <w:rFonts w:ascii="Times New Roman" w:hAnsi="Times New Roman"/>
          <w:sz w:val="24"/>
          <w:szCs w:val="24"/>
        </w:rPr>
        <w:t xml:space="preserve">For all three interactions, higher health literacy levels strengthened the positive relationship between self-efficacy and health behaviors. </w:t>
      </w:r>
      <w:r w:rsidRPr="00EE25DA">
        <w:rPr>
          <w:rFonts w:ascii="Times New Roman" w:hAnsi="Times New Roman"/>
          <w:sz w:val="24"/>
          <w:szCs w:val="24"/>
        </w:rPr>
        <w:t xml:space="preserve">The results offer support for the tenets of SCT and suggest—for low-income, Spanish-speaking adults—that a combination of behavioral confidence and literacy capability are necessary to enact </w:t>
      </w:r>
      <w:r>
        <w:rPr>
          <w:rFonts w:ascii="Times New Roman" w:hAnsi="Times New Roman"/>
          <w:sz w:val="24"/>
          <w:szCs w:val="24"/>
        </w:rPr>
        <w:t xml:space="preserve">appropriate </w:t>
      </w:r>
      <w:r w:rsidRPr="00EE25DA">
        <w:rPr>
          <w:rFonts w:ascii="Times New Roman" w:hAnsi="Times New Roman"/>
          <w:sz w:val="24"/>
          <w:szCs w:val="24"/>
        </w:rPr>
        <w:t>health behaviors.</w:t>
      </w:r>
    </w:p>
    <w:p w:rsidR="008F756F" w:rsidRDefault="008F756F" w:rsidP="00D5654C">
      <w:pPr>
        <w:pStyle w:val="NoSpacing"/>
        <w:rPr>
          <w:rFonts w:ascii="Times New Roman" w:hAnsi="Times New Roman"/>
          <w:i/>
          <w:sz w:val="24"/>
          <w:szCs w:val="24"/>
        </w:rPr>
      </w:pPr>
    </w:p>
    <w:p w:rsidR="008F756F" w:rsidRDefault="008F756F" w:rsidP="002D0D1A">
      <w:pPr>
        <w:pStyle w:val="NoSpacing"/>
        <w:spacing w:line="480" w:lineRule="auto"/>
        <w:rPr>
          <w:rFonts w:ascii="Times New Roman" w:hAnsi="Times New Roman"/>
          <w:sz w:val="24"/>
          <w:szCs w:val="24"/>
        </w:rPr>
      </w:pPr>
      <w:r w:rsidRPr="000F654C">
        <w:rPr>
          <w:rFonts w:ascii="Times New Roman" w:hAnsi="Times New Roman"/>
          <w:i/>
          <w:sz w:val="24"/>
          <w:szCs w:val="24"/>
        </w:rPr>
        <w:t>Keywords</w:t>
      </w:r>
      <w:r w:rsidR="00631F72">
        <w:rPr>
          <w:rFonts w:ascii="Times New Roman" w:hAnsi="Times New Roman"/>
          <w:sz w:val="24"/>
          <w:szCs w:val="24"/>
        </w:rPr>
        <w:t>: self-efficacy; health literacy; social cognitive theory;</w:t>
      </w:r>
      <w:r>
        <w:rPr>
          <w:rFonts w:ascii="Times New Roman" w:hAnsi="Times New Roman"/>
          <w:sz w:val="24"/>
          <w:szCs w:val="24"/>
        </w:rPr>
        <w:t xml:space="preserve"> exercise and physical activity</w:t>
      </w:r>
      <w:r w:rsidR="00631F72">
        <w:rPr>
          <w:rFonts w:ascii="Times New Roman" w:hAnsi="Times New Roman"/>
          <w:sz w:val="24"/>
          <w:szCs w:val="24"/>
        </w:rPr>
        <w:t>;</w:t>
      </w:r>
      <w:r>
        <w:rPr>
          <w:rFonts w:ascii="Times New Roman" w:hAnsi="Times New Roman"/>
          <w:sz w:val="24"/>
          <w:szCs w:val="24"/>
        </w:rPr>
        <w:t xml:space="preserve"> </w:t>
      </w:r>
      <w:r w:rsidR="00631F72">
        <w:rPr>
          <w:rFonts w:ascii="Times New Roman" w:hAnsi="Times New Roman"/>
          <w:sz w:val="24"/>
          <w:szCs w:val="24"/>
        </w:rPr>
        <w:t>nutrition;</w:t>
      </w:r>
      <w:r>
        <w:rPr>
          <w:rFonts w:ascii="Times New Roman" w:hAnsi="Times New Roman"/>
          <w:sz w:val="24"/>
          <w:szCs w:val="24"/>
        </w:rPr>
        <w:t xml:space="preserve"> Hispanic </w:t>
      </w:r>
    </w:p>
    <w:p w:rsidR="008F756F" w:rsidRDefault="008F756F">
      <w:pPr>
        <w:rPr>
          <w:highlight w:val="yellow"/>
        </w:rPr>
      </w:pPr>
      <w:r>
        <w:rPr>
          <w:highlight w:val="yellow"/>
        </w:rPr>
        <w:br w:type="page"/>
      </w:r>
    </w:p>
    <w:p w:rsidR="008F756F" w:rsidRDefault="008F756F" w:rsidP="00085756">
      <w:pPr>
        <w:spacing w:line="480" w:lineRule="auto"/>
        <w:jc w:val="center"/>
      </w:pPr>
      <w:r>
        <w:lastRenderedPageBreak/>
        <w:t xml:space="preserve">Self-Efficacy, Health Literacy, and Nutrition and Exercise Behaviors </w:t>
      </w:r>
    </w:p>
    <w:p w:rsidR="008F756F" w:rsidRDefault="008F756F" w:rsidP="00085756">
      <w:pPr>
        <w:spacing w:line="480" w:lineRule="auto"/>
        <w:jc w:val="center"/>
      </w:pPr>
      <w:r>
        <w:t>in a Low-Income, Hispanic Population</w:t>
      </w:r>
    </w:p>
    <w:p w:rsidR="008F756F" w:rsidRPr="00246DA7" w:rsidRDefault="008F756F" w:rsidP="00246DA7">
      <w:pPr>
        <w:pStyle w:val="NoSpacing"/>
        <w:spacing w:line="480" w:lineRule="auto"/>
        <w:jc w:val="both"/>
        <w:rPr>
          <w:rFonts w:ascii="Times New Roman" w:hAnsi="Times New Roman"/>
          <w:b/>
          <w:sz w:val="24"/>
          <w:szCs w:val="24"/>
        </w:rPr>
      </w:pPr>
      <w:r>
        <w:rPr>
          <w:rFonts w:ascii="Times New Roman" w:hAnsi="Times New Roman"/>
          <w:b/>
          <w:sz w:val="24"/>
          <w:szCs w:val="24"/>
        </w:rPr>
        <w:t>INTRODUCTION</w:t>
      </w:r>
    </w:p>
    <w:p w:rsidR="008F756F" w:rsidRDefault="008F756F" w:rsidP="00DF0FE0">
      <w:pPr>
        <w:pStyle w:val="NoSpacing"/>
        <w:spacing w:line="480" w:lineRule="auto"/>
        <w:ind w:firstLine="720"/>
      </w:pPr>
      <w:r>
        <w:rPr>
          <w:rFonts w:ascii="Times New Roman" w:hAnsi="Times New Roman"/>
          <w:sz w:val="24"/>
          <w:szCs w:val="24"/>
        </w:rPr>
        <w:t>Improving dietary behaviors and increasing physical activity is a</w:t>
      </w:r>
      <w:r w:rsidRPr="001A0119">
        <w:rPr>
          <w:rFonts w:ascii="Times New Roman" w:hAnsi="Times New Roman"/>
          <w:sz w:val="24"/>
          <w:szCs w:val="24"/>
        </w:rPr>
        <w:t xml:space="preserve"> </w:t>
      </w:r>
      <w:r>
        <w:rPr>
          <w:rFonts w:ascii="Times New Roman" w:hAnsi="Times New Roman"/>
          <w:sz w:val="24"/>
          <w:szCs w:val="24"/>
        </w:rPr>
        <w:t>key public health goal, especially for low-income, Hispanic populations</w:t>
      </w:r>
      <w:r>
        <w:rPr>
          <w:rFonts w:ascii="Times New Roman" w:hAnsi="Times New Roman"/>
          <w:noProof/>
          <w:sz w:val="24"/>
          <w:szCs w:val="24"/>
        </w:rPr>
        <w:t>[1]</w:t>
      </w:r>
      <w:r w:rsidR="0047058B">
        <w:rPr>
          <w:rFonts w:ascii="Times New Roman" w:hAnsi="Times New Roman"/>
          <w:sz w:val="24"/>
          <w:szCs w:val="24"/>
        </w:rPr>
        <w:t>. Low-income</w:t>
      </w:r>
      <w:r>
        <w:rPr>
          <w:rFonts w:ascii="Times New Roman" w:hAnsi="Times New Roman"/>
          <w:sz w:val="24"/>
          <w:szCs w:val="24"/>
        </w:rPr>
        <w:t xml:space="preserve"> Hispanics are at-risk for</w:t>
      </w:r>
      <w:r w:rsidR="0047058B">
        <w:rPr>
          <w:rFonts w:ascii="Times New Roman" w:hAnsi="Times New Roman"/>
          <w:sz w:val="24"/>
          <w:szCs w:val="24"/>
        </w:rPr>
        <w:t xml:space="preserve"> poor nutritional eating habits (</w:t>
      </w:r>
      <w:r w:rsidRPr="0085095F">
        <w:rPr>
          <w:rFonts w:ascii="Times New Roman" w:hAnsi="Times New Roman"/>
          <w:sz w:val="24"/>
          <w:szCs w:val="24"/>
        </w:rPr>
        <w:t xml:space="preserve">such as </w:t>
      </w:r>
      <w:r w:rsidR="0047058B">
        <w:rPr>
          <w:rFonts w:ascii="Times New Roman" w:hAnsi="Times New Roman"/>
          <w:sz w:val="24"/>
          <w:szCs w:val="24"/>
        </w:rPr>
        <w:t>consuming foods high in fat)</w:t>
      </w:r>
      <w:r>
        <w:rPr>
          <w:rFonts w:ascii="Times New Roman" w:hAnsi="Times New Roman"/>
          <w:sz w:val="24"/>
          <w:szCs w:val="24"/>
        </w:rPr>
        <w:t xml:space="preserve"> and obesity</w:t>
      </w:r>
      <w:r>
        <w:rPr>
          <w:rFonts w:ascii="Times New Roman" w:hAnsi="Times New Roman"/>
          <w:noProof/>
          <w:sz w:val="24"/>
          <w:szCs w:val="24"/>
        </w:rPr>
        <w:t>[1]</w:t>
      </w:r>
      <w:r>
        <w:rPr>
          <w:rFonts w:ascii="Times New Roman" w:hAnsi="Times New Roman"/>
          <w:sz w:val="24"/>
          <w:szCs w:val="24"/>
        </w:rPr>
        <w:t>, which then increases</w:t>
      </w:r>
      <w:r w:rsidRPr="007152FE">
        <w:rPr>
          <w:rFonts w:ascii="Times New Roman" w:hAnsi="Times New Roman"/>
          <w:sz w:val="24"/>
          <w:szCs w:val="24"/>
        </w:rPr>
        <w:t xml:space="preserve"> risk for developing cancer, diabetes, hear</w:t>
      </w:r>
      <w:r>
        <w:rPr>
          <w:rFonts w:ascii="Times New Roman" w:hAnsi="Times New Roman"/>
          <w:sz w:val="24"/>
          <w:szCs w:val="24"/>
        </w:rPr>
        <w:t>t disease, hypertension, and stroke</w:t>
      </w:r>
      <w:r w:rsidRPr="007152FE">
        <w:rPr>
          <w:rFonts w:ascii="Times New Roman" w:hAnsi="Times New Roman"/>
          <w:sz w:val="24"/>
          <w:szCs w:val="24"/>
        </w:rPr>
        <w:t xml:space="preserve"> </w:t>
      </w:r>
      <w:r>
        <w:rPr>
          <w:rFonts w:ascii="Times New Roman" w:hAnsi="Times New Roman"/>
          <w:noProof/>
          <w:sz w:val="24"/>
          <w:szCs w:val="24"/>
        </w:rPr>
        <w:t>[2]</w:t>
      </w:r>
      <w:r w:rsidRPr="007152FE">
        <w:rPr>
          <w:rFonts w:ascii="Times New Roman" w:hAnsi="Times New Roman"/>
          <w:sz w:val="24"/>
          <w:szCs w:val="24"/>
        </w:rPr>
        <w:t xml:space="preserve">. </w:t>
      </w:r>
      <w:r>
        <w:rPr>
          <w:rFonts w:ascii="Times New Roman" w:hAnsi="Times New Roman"/>
          <w:sz w:val="24"/>
          <w:szCs w:val="24"/>
        </w:rPr>
        <w:t xml:space="preserve">Additionally, </w:t>
      </w:r>
      <w:r w:rsidR="005B62B0">
        <w:rPr>
          <w:rFonts w:ascii="Times New Roman" w:hAnsi="Times New Roman"/>
          <w:sz w:val="24"/>
          <w:szCs w:val="24"/>
        </w:rPr>
        <w:t>among</w:t>
      </w:r>
      <w:r>
        <w:rPr>
          <w:rFonts w:ascii="Times New Roman" w:hAnsi="Times New Roman"/>
          <w:sz w:val="24"/>
          <w:szCs w:val="24"/>
        </w:rPr>
        <w:t xml:space="preserve"> racial/ethnic groups, Hispanics </w:t>
      </w:r>
      <w:r w:rsidR="005B62B0">
        <w:rPr>
          <w:rFonts w:ascii="Times New Roman" w:hAnsi="Times New Roman"/>
          <w:sz w:val="24"/>
          <w:szCs w:val="24"/>
        </w:rPr>
        <w:t>have</w:t>
      </w:r>
      <w:r>
        <w:rPr>
          <w:rFonts w:ascii="Times New Roman" w:hAnsi="Times New Roman"/>
          <w:sz w:val="24"/>
          <w:szCs w:val="24"/>
        </w:rPr>
        <w:t xml:space="preserve"> the lowest physical activity performance</w:t>
      </w:r>
      <w:r>
        <w:rPr>
          <w:rFonts w:ascii="Times New Roman" w:hAnsi="Times New Roman"/>
          <w:noProof/>
          <w:sz w:val="24"/>
          <w:szCs w:val="24"/>
        </w:rPr>
        <w:t>[1]</w:t>
      </w:r>
      <w:r>
        <w:rPr>
          <w:rFonts w:ascii="Times New Roman" w:hAnsi="Times New Roman"/>
          <w:sz w:val="24"/>
          <w:szCs w:val="24"/>
        </w:rPr>
        <w:t>. E</w:t>
      </w:r>
      <w:r w:rsidRPr="007152FE">
        <w:rPr>
          <w:rFonts w:ascii="Times New Roman" w:hAnsi="Times New Roman"/>
          <w:sz w:val="24"/>
          <w:szCs w:val="24"/>
        </w:rPr>
        <w:t xml:space="preserve">xercise </w:t>
      </w:r>
      <w:r>
        <w:rPr>
          <w:rFonts w:ascii="Times New Roman" w:hAnsi="Times New Roman"/>
          <w:sz w:val="24"/>
          <w:szCs w:val="24"/>
        </w:rPr>
        <w:t xml:space="preserve">helps </w:t>
      </w:r>
      <w:r w:rsidRPr="007152FE">
        <w:rPr>
          <w:rFonts w:ascii="Times New Roman" w:hAnsi="Times New Roman"/>
          <w:sz w:val="24"/>
          <w:szCs w:val="24"/>
        </w:rPr>
        <w:t>prevent cardiovascular disease and diabetes</w:t>
      </w:r>
      <w:r>
        <w:rPr>
          <w:rFonts w:ascii="Times New Roman" w:hAnsi="Times New Roman"/>
          <w:sz w:val="24"/>
          <w:szCs w:val="24"/>
        </w:rPr>
        <w:t>, which are prevalent in Hispanic communities</w:t>
      </w:r>
      <w:r>
        <w:rPr>
          <w:rFonts w:ascii="Times New Roman" w:hAnsi="Times New Roman"/>
          <w:noProof/>
          <w:sz w:val="24"/>
          <w:szCs w:val="24"/>
        </w:rPr>
        <w:t>[3]</w:t>
      </w:r>
      <w:r>
        <w:rPr>
          <w:rFonts w:ascii="Times New Roman" w:hAnsi="Times New Roman"/>
          <w:sz w:val="24"/>
          <w:szCs w:val="24"/>
        </w:rPr>
        <w:t xml:space="preserve">. </w:t>
      </w:r>
    </w:p>
    <w:p w:rsidR="008F756F" w:rsidRDefault="008F756F" w:rsidP="00CC14C2">
      <w:pPr>
        <w:pStyle w:val="NoSpacing"/>
        <w:spacing w:line="480" w:lineRule="auto"/>
        <w:ind w:firstLine="720"/>
        <w:rPr>
          <w:rFonts w:ascii="Times New Roman" w:hAnsi="Times New Roman"/>
          <w:sz w:val="24"/>
          <w:szCs w:val="24"/>
        </w:rPr>
      </w:pPr>
      <w:r>
        <w:rPr>
          <w:rFonts w:ascii="Times New Roman" w:hAnsi="Times New Roman"/>
          <w:sz w:val="24"/>
          <w:szCs w:val="24"/>
        </w:rPr>
        <w:t>Social cognitive theory (SCT) posits that self-efficacy─one’s judgments of his or her abilities to perform an action─drives healthy behavior</w:t>
      </w:r>
      <w:r>
        <w:rPr>
          <w:rFonts w:ascii="Times New Roman" w:hAnsi="Times New Roman"/>
          <w:noProof/>
          <w:sz w:val="24"/>
          <w:szCs w:val="24"/>
        </w:rPr>
        <w:t>[4]</w:t>
      </w:r>
      <w:r>
        <w:rPr>
          <w:rFonts w:ascii="Times New Roman" w:hAnsi="Times New Roman"/>
          <w:sz w:val="24"/>
          <w:szCs w:val="24"/>
        </w:rPr>
        <w:t>. However, self-efficacy alone is not enough to generate desirable behavior, the individual must also have the behavioral capability (</w:t>
      </w:r>
      <w:r w:rsidRPr="00E27BC9">
        <w:rPr>
          <w:rFonts w:ascii="Times New Roman" w:hAnsi="Times New Roman"/>
          <w:sz w:val="24"/>
          <w:szCs w:val="24"/>
        </w:rPr>
        <w:t>knowle</w:t>
      </w:r>
      <w:r>
        <w:rPr>
          <w:rFonts w:ascii="Times New Roman" w:hAnsi="Times New Roman"/>
          <w:sz w:val="24"/>
          <w:szCs w:val="24"/>
        </w:rPr>
        <w:t>dge and/or skill) to perform the specific</w:t>
      </w:r>
      <w:r w:rsidRPr="00E27BC9">
        <w:rPr>
          <w:rFonts w:ascii="Times New Roman" w:hAnsi="Times New Roman"/>
          <w:sz w:val="24"/>
          <w:szCs w:val="24"/>
        </w:rPr>
        <w:t xml:space="preserve"> </w:t>
      </w:r>
      <w:r w:rsidR="00E434C3">
        <w:rPr>
          <w:rFonts w:ascii="Times New Roman" w:hAnsi="Times New Roman"/>
          <w:sz w:val="24"/>
          <w:szCs w:val="24"/>
        </w:rPr>
        <w:t>act</w:t>
      </w:r>
      <w:r>
        <w:rPr>
          <w:rFonts w:ascii="Times New Roman" w:hAnsi="Times New Roman"/>
          <w:noProof/>
          <w:sz w:val="24"/>
          <w:szCs w:val="24"/>
        </w:rPr>
        <w:t>[4]</w:t>
      </w:r>
      <w:r>
        <w:rPr>
          <w:rFonts w:ascii="Times New Roman" w:hAnsi="Times New Roman"/>
          <w:sz w:val="24"/>
          <w:szCs w:val="24"/>
        </w:rPr>
        <w:t>. One indicator of health capability is h</w:t>
      </w:r>
      <w:r w:rsidRPr="003E0977">
        <w:rPr>
          <w:rFonts w:ascii="Times New Roman" w:hAnsi="Times New Roman"/>
          <w:sz w:val="24"/>
          <w:szCs w:val="24"/>
        </w:rPr>
        <w:t>ealth literacy</w:t>
      </w:r>
      <w:r>
        <w:rPr>
          <w:rFonts w:ascii="Times New Roman" w:hAnsi="Times New Roman"/>
          <w:sz w:val="24"/>
          <w:szCs w:val="24"/>
        </w:rPr>
        <w:t>, or the extent to which individuals can obtain, process, and comprehend basic health information and services to</w:t>
      </w:r>
      <w:r w:rsidR="00E434C3">
        <w:rPr>
          <w:rFonts w:ascii="Times New Roman" w:hAnsi="Times New Roman"/>
          <w:sz w:val="24"/>
          <w:szCs w:val="24"/>
        </w:rPr>
        <w:t xml:space="preserve"> make informed health decisions</w:t>
      </w:r>
      <w:r>
        <w:rPr>
          <w:rFonts w:ascii="Times New Roman" w:hAnsi="Times New Roman"/>
          <w:noProof/>
          <w:sz w:val="24"/>
          <w:szCs w:val="24"/>
        </w:rPr>
        <w:t>[5]</w:t>
      </w:r>
      <w:r>
        <w:rPr>
          <w:rFonts w:ascii="Times New Roman" w:hAnsi="Times New Roman"/>
          <w:sz w:val="24"/>
          <w:szCs w:val="24"/>
        </w:rPr>
        <w:t>(</w:t>
      </w:r>
      <w:r w:rsidRPr="003E0977">
        <w:rPr>
          <w:rFonts w:ascii="Times New Roman" w:hAnsi="Times New Roman"/>
          <w:sz w:val="24"/>
          <w:szCs w:val="24"/>
        </w:rPr>
        <w:t xml:space="preserve">p. 1). </w:t>
      </w:r>
      <w:r>
        <w:rPr>
          <w:rFonts w:ascii="Times New Roman" w:hAnsi="Times New Roman"/>
          <w:sz w:val="24"/>
          <w:szCs w:val="24"/>
        </w:rPr>
        <w:t>Individuals with lower health literacy are less likely to engage in preventative behaviors, may avoid health situations and health information, and report greater barriers to health care</w:t>
      </w:r>
      <w:r>
        <w:rPr>
          <w:rFonts w:ascii="Times New Roman" w:hAnsi="Times New Roman"/>
          <w:noProof/>
          <w:sz w:val="24"/>
          <w:szCs w:val="24"/>
        </w:rPr>
        <w:t>[5]</w:t>
      </w:r>
      <w:r>
        <w:rPr>
          <w:rFonts w:ascii="Times New Roman" w:hAnsi="Times New Roman"/>
          <w:sz w:val="24"/>
          <w:szCs w:val="24"/>
        </w:rPr>
        <w:t>. In Hispanic populations, Spanish health literacy is associated with physical activity, and health literacy and self-efficacy are linked</w:t>
      </w:r>
      <w:r>
        <w:rPr>
          <w:rFonts w:ascii="Times New Roman" w:hAnsi="Times New Roman"/>
          <w:noProof/>
          <w:sz w:val="24"/>
          <w:szCs w:val="24"/>
        </w:rPr>
        <w:t>[6]</w:t>
      </w:r>
      <w:r>
        <w:rPr>
          <w:rFonts w:ascii="Times New Roman" w:hAnsi="Times New Roman"/>
          <w:sz w:val="24"/>
          <w:szCs w:val="24"/>
        </w:rPr>
        <w:t xml:space="preserve">. However, SCT posits both high self-efficacy and adequate health literacy may be necessary to facilitate healthy behaviors, and research has not examined the interaction between these variables on Hispanics’ health behavior. Thus, we posit that for low-income, low-English proficiency Hispanics living in the United States, (a) nutrition self-efficacy, </w:t>
      </w:r>
      <w:r>
        <w:rPr>
          <w:rFonts w:ascii="Times New Roman" w:hAnsi="Times New Roman"/>
          <w:sz w:val="24"/>
          <w:szCs w:val="24"/>
        </w:rPr>
        <w:lastRenderedPageBreak/>
        <w:t>(b) health literacy, and (c) the interaction of nutrition self-efficacy and health literacy will positively relate to reported consumption of five fruits and vegetables a day (H1) and fatty food avoidance (H2). Likewise, (a) exercise self-efficacy, (b) health literacy, and (c) the interaction of exercise self-efficacy and health literacy will positively relate to exercising 3 times a week for at least 20 minutes a day (H3) and weight loss attempts (H4).</w:t>
      </w:r>
    </w:p>
    <w:p w:rsidR="008F756F" w:rsidRPr="00C75746" w:rsidRDefault="008F756F" w:rsidP="00A8643D">
      <w:pPr>
        <w:pStyle w:val="NoSpacing"/>
        <w:spacing w:line="480" w:lineRule="auto"/>
        <w:rPr>
          <w:rFonts w:ascii="Times New Roman" w:hAnsi="Times New Roman"/>
          <w:b/>
          <w:sz w:val="24"/>
          <w:szCs w:val="24"/>
        </w:rPr>
      </w:pPr>
      <w:r>
        <w:rPr>
          <w:rFonts w:ascii="Times New Roman" w:hAnsi="Times New Roman"/>
          <w:b/>
          <w:sz w:val="24"/>
          <w:szCs w:val="24"/>
        </w:rPr>
        <w:t>METHOD</w:t>
      </w:r>
    </w:p>
    <w:p w:rsidR="008F756F" w:rsidRPr="00C75746" w:rsidRDefault="008F756F" w:rsidP="00DF0FE0">
      <w:pPr>
        <w:pStyle w:val="NoSpacing"/>
        <w:spacing w:line="480" w:lineRule="auto"/>
        <w:rPr>
          <w:rFonts w:ascii="Times New Roman" w:hAnsi="Times New Roman"/>
          <w:b/>
          <w:sz w:val="24"/>
          <w:szCs w:val="24"/>
        </w:rPr>
      </w:pPr>
      <w:r w:rsidRPr="00C75746">
        <w:rPr>
          <w:rFonts w:ascii="Times New Roman" w:hAnsi="Times New Roman"/>
          <w:b/>
          <w:sz w:val="24"/>
          <w:szCs w:val="24"/>
        </w:rPr>
        <w:t>Participants</w:t>
      </w:r>
    </w:p>
    <w:p w:rsidR="008F756F" w:rsidRDefault="008F756F" w:rsidP="00DF0FE0">
      <w:pPr>
        <w:pStyle w:val="NoSpacing"/>
        <w:spacing w:line="480" w:lineRule="auto"/>
        <w:ind w:firstLine="720"/>
        <w:rPr>
          <w:rFonts w:ascii="Times New Roman" w:hAnsi="Times New Roman"/>
          <w:color w:val="000000"/>
          <w:sz w:val="24"/>
          <w:szCs w:val="24"/>
        </w:rPr>
      </w:pPr>
      <w:r>
        <w:rPr>
          <w:rFonts w:ascii="Times New Roman" w:hAnsi="Times New Roman"/>
          <w:sz w:val="24"/>
          <w:szCs w:val="24"/>
        </w:rPr>
        <w:t>One-hundred</w:t>
      </w:r>
      <w:r w:rsidRPr="00AB79A4">
        <w:rPr>
          <w:rFonts w:ascii="Times New Roman" w:hAnsi="Times New Roman"/>
          <w:sz w:val="24"/>
          <w:szCs w:val="24"/>
        </w:rPr>
        <w:t xml:space="preserve"> </w:t>
      </w:r>
      <w:r>
        <w:rPr>
          <w:rFonts w:ascii="Times New Roman" w:hAnsi="Times New Roman"/>
          <w:sz w:val="24"/>
          <w:szCs w:val="24"/>
        </w:rPr>
        <w:t>Spanish-speaking (predominately of Mexican heritage)</w:t>
      </w:r>
      <w:r w:rsidRPr="00AB79A4">
        <w:rPr>
          <w:rFonts w:ascii="Times New Roman" w:hAnsi="Times New Roman"/>
          <w:sz w:val="24"/>
          <w:szCs w:val="24"/>
        </w:rPr>
        <w:t xml:space="preserve"> </w:t>
      </w:r>
      <w:r>
        <w:rPr>
          <w:rFonts w:ascii="Times New Roman" w:hAnsi="Times New Roman"/>
          <w:sz w:val="24"/>
          <w:szCs w:val="24"/>
        </w:rPr>
        <w:t>adults with limited or no English proficiency and</w:t>
      </w:r>
      <w:r w:rsidRPr="0036163B">
        <w:rPr>
          <w:rFonts w:ascii="Times New Roman" w:hAnsi="Times New Roman"/>
          <w:color w:val="000000"/>
          <w:sz w:val="24"/>
          <w:szCs w:val="24"/>
        </w:rPr>
        <w:t xml:space="preserve"> </w:t>
      </w:r>
      <w:r>
        <w:rPr>
          <w:rFonts w:ascii="Times New Roman" w:hAnsi="Times New Roman"/>
          <w:color w:val="000000"/>
          <w:sz w:val="24"/>
          <w:szCs w:val="24"/>
        </w:rPr>
        <w:t xml:space="preserve">who were </w:t>
      </w:r>
      <w:r w:rsidRPr="00AB79A4">
        <w:rPr>
          <w:rFonts w:ascii="Times New Roman" w:hAnsi="Times New Roman"/>
          <w:color w:val="000000"/>
          <w:sz w:val="24"/>
          <w:szCs w:val="24"/>
        </w:rPr>
        <w:t>at or below 200% of the poverty line</w:t>
      </w:r>
      <w:r>
        <w:rPr>
          <w:rFonts w:ascii="Times New Roman" w:hAnsi="Times New Roman"/>
          <w:sz w:val="24"/>
          <w:szCs w:val="24"/>
        </w:rPr>
        <w:t xml:space="preserve"> </w:t>
      </w:r>
      <w:r w:rsidRPr="00AB79A4">
        <w:rPr>
          <w:rFonts w:ascii="Times New Roman" w:hAnsi="Times New Roman"/>
          <w:sz w:val="24"/>
          <w:szCs w:val="24"/>
        </w:rPr>
        <w:t xml:space="preserve">were </w:t>
      </w:r>
      <w:r w:rsidRPr="00AB79A4">
        <w:rPr>
          <w:rFonts w:ascii="Times New Roman" w:hAnsi="Times New Roman"/>
          <w:color w:val="000000"/>
          <w:sz w:val="24"/>
          <w:szCs w:val="24"/>
        </w:rPr>
        <w:t>recrui</w:t>
      </w:r>
      <w:r>
        <w:rPr>
          <w:rFonts w:ascii="Times New Roman" w:hAnsi="Times New Roman"/>
          <w:color w:val="000000"/>
          <w:sz w:val="24"/>
          <w:szCs w:val="24"/>
        </w:rPr>
        <w:t>ted from Lake County, Indiana. The majority of participants were female (</w:t>
      </w:r>
      <w:r>
        <w:rPr>
          <w:rFonts w:ascii="Times New Roman" w:hAnsi="Times New Roman"/>
          <w:i/>
          <w:color w:val="000000"/>
          <w:sz w:val="24"/>
          <w:szCs w:val="24"/>
        </w:rPr>
        <w:t xml:space="preserve">n </w:t>
      </w:r>
      <w:r w:rsidRPr="00F44F44">
        <w:rPr>
          <w:rFonts w:ascii="Times New Roman" w:hAnsi="Times New Roman"/>
          <w:color w:val="000000"/>
          <w:sz w:val="24"/>
          <w:szCs w:val="24"/>
        </w:rPr>
        <w:t xml:space="preserve">= 83, male </w:t>
      </w:r>
      <w:r w:rsidRPr="00FD67AB">
        <w:rPr>
          <w:rFonts w:ascii="Times New Roman" w:hAnsi="Times New Roman"/>
          <w:color w:val="000000"/>
          <w:sz w:val="24"/>
          <w:szCs w:val="24"/>
        </w:rPr>
        <w:t>= 15, missing = 2)</w:t>
      </w:r>
      <w:r>
        <w:rPr>
          <w:rFonts w:ascii="Times New Roman" w:hAnsi="Times New Roman"/>
          <w:color w:val="000000"/>
          <w:sz w:val="24"/>
          <w:szCs w:val="24"/>
        </w:rPr>
        <w:t xml:space="preserve">, </w:t>
      </w:r>
      <w:r w:rsidRPr="00AB79A4">
        <w:rPr>
          <w:rFonts w:ascii="Times New Roman" w:hAnsi="Times New Roman"/>
          <w:color w:val="000000"/>
          <w:sz w:val="24"/>
          <w:szCs w:val="24"/>
        </w:rPr>
        <w:t>had less</w:t>
      </w:r>
      <w:r>
        <w:rPr>
          <w:rFonts w:ascii="Times New Roman" w:hAnsi="Times New Roman"/>
          <w:color w:val="000000"/>
          <w:sz w:val="24"/>
          <w:szCs w:val="24"/>
        </w:rPr>
        <w:t xml:space="preserve"> than a high school education </w:t>
      </w:r>
      <w:r w:rsidRPr="00AB79A4">
        <w:rPr>
          <w:rFonts w:ascii="Times New Roman" w:hAnsi="Times New Roman"/>
          <w:color w:val="000000"/>
          <w:sz w:val="24"/>
          <w:szCs w:val="24"/>
        </w:rPr>
        <w:t>(67.3 %)</w:t>
      </w:r>
      <w:r>
        <w:rPr>
          <w:rFonts w:ascii="Times New Roman" w:hAnsi="Times New Roman"/>
          <w:color w:val="000000"/>
          <w:sz w:val="24"/>
          <w:szCs w:val="24"/>
        </w:rPr>
        <w:t>, and were originally from Mexico (</w:t>
      </w:r>
      <w:r>
        <w:rPr>
          <w:rFonts w:ascii="Times New Roman" w:hAnsi="Times New Roman"/>
          <w:i/>
          <w:color w:val="000000"/>
          <w:sz w:val="24"/>
          <w:szCs w:val="24"/>
        </w:rPr>
        <w:t xml:space="preserve">n </w:t>
      </w:r>
      <w:r>
        <w:rPr>
          <w:rFonts w:ascii="Times New Roman" w:hAnsi="Times New Roman"/>
          <w:color w:val="000000"/>
          <w:sz w:val="24"/>
          <w:szCs w:val="24"/>
        </w:rPr>
        <w:t xml:space="preserve">= 91; United States = </w:t>
      </w:r>
      <w:r w:rsidRPr="003F0D71">
        <w:rPr>
          <w:rFonts w:ascii="Times New Roman" w:hAnsi="Times New Roman"/>
          <w:color w:val="000000"/>
          <w:sz w:val="24"/>
          <w:szCs w:val="24"/>
        </w:rPr>
        <w:t>4</w:t>
      </w:r>
      <w:r>
        <w:rPr>
          <w:rFonts w:ascii="Times New Roman" w:hAnsi="Times New Roman"/>
          <w:color w:val="000000"/>
          <w:sz w:val="24"/>
          <w:szCs w:val="24"/>
        </w:rPr>
        <w:t xml:space="preserve">; Puerto Rico = </w:t>
      </w:r>
      <w:r w:rsidRPr="003F0D71">
        <w:rPr>
          <w:rFonts w:ascii="Times New Roman" w:hAnsi="Times New Roman"/>
          <w:color w:val="000000"/>
          <w:sz w:val="24"/>
          <w:szCs w:val="24"/>
        </w:rPr>
        <w:t>2</w:t>
      </w:r>
      <w:r>
        <w:rPr>
          <w:rFonts w:ascii="Times New Roman" w:hAnsi="Times New Roman"/>
          <w:color w:val="000000"/>
          <w:sz w:val="24"/>
          <w:szCs w:val="24"/>
        </w:rPr>
        <w:t>;</w:t>
      </w:r>
      <w:r w:rsidRPr="003F0D71">
        <w:rPr>
          <w:rFonts w:ascii="Times New Roman" w:hAnsi="Times New Roman"/>
          <w:color w:val="000000"/>
          <w:sz w:val="24"/>
          <w:szCs w:val="24"/>
        </w:rPr>
        <w:t xml:space="preserve"> Chile, Venezuela, and Cuba </w:t>
      </w:r>
      <w:r>
        <w:rPr>
          <w:rFonts w:ascii="Times New Roman" w:hAnsi="Times New Roman"/>
          <w:color w:val="000000"/>
          <w:sz w:val="24"/>
          <w:szCs w:val="24"/>
        </w:rPr>
        <w:t>= 1</w:t>
      </w:r>
      <w:r w:rsidRPr="003F0D71">
        <w:rPr>
          <w:rFonts w:ascii="Times New Roman" w:hAnsi="Times New Roman"/>
          <w:color w:val="000000"/>
          <w:sz w:val="24"/>
          <w:szCs w:val="24"/>
        </w:rPr>
        <w:t>)</w:t>
      </w:r>
      <w:r>
        <w:rPr>
          <w:rFonts w:ascii="Times New Roman" w:hAnsi="Times New Roman"/>
          <w:color w:val="000000"/>
          <w:sz w:val="24"/>
          <w:szCs w:val="24"/>
        </w:rPr>
        <w:t xml:space="preserve">. </w:t>
      </w:r>
      <w:r w:rsidRPr="00AB79A4">
        <w:rPr>
          <w:rFonts w:ascii="Times New Roman" w:hAnsi="Times New Roman"/>
          <w:color w:val="000000"/>
          <w:sz w:val="24"/>
          <w:szCs w:val="24"/>
        </w:rPr>
        <w:t>Participants’ mean age was 34.8</w:t>
      </w:r>
      <w:r>
        <w:rPr>
          <w:rFonts w:ascii="Times New Roman" w:hAnsi="Times New Roman"/>
          <w:color w:val="000000"/>
          <w:sz w:val="24"/>
          <w:szCs w:val="24"/>
        </w:rPr>
        <w:t>5</w:t>
      </w:r>
      <w:r w:rsidRPr="00AB79A4">
        <w:rPr>
          <w:rFonts w:ascii="Times New Roman" w:hAnsi="Times New Roman"/>
          <w:color w:val="000000"/>
          <w:sz w:val="24"/>
          <w:szCs w:val="24"/>
        </w:rPr>
        <w:t xml:space="preserve"> years (</w:t>
      </w:r>
      <w:r w:rsidRPr="00AB79A4">
        <w:rPr>
          <w:rFonts w:ascii="Times New Roman" w:hAnsi="Times New Roman"/>
          <w:i/>
          <w:color w:val="000000"/>
          <w:sz w:val="24"/>
          <w:szCs w:val="24"/>
        </w:rPr>
        <w:t>SD</w:t>
      </w:r>
      <w:r w:rsidRPr="00AB79A4">
        <w:rPr>
          <w:rFonts w:ascii="Times New Roman" w:hAnsi="Times New Roman"/>
          <w:color w:val="000000"/>
          <w:sz w:val="24"/>
          <w:szCs w:val="24"/>
        </w:rPr>
        <w:t xml:space="preserve"> = 11.</w:t>
      </w:r>
      <w:r>
        <w:rPr>
          <w:rFonts w:ascii="Times New Roman" w:hAnsi="Times New Roman"/>
          <w:color w:val="000000"/>
          <w:sz w:val="24"/>
          <w:szCs w:val="24"/>
        </w:rPr>
        <w:t xml:space="preserve">48). </w:t>
      </w:r>
    </w:p>
    <w:p w:rsidR="008F756F" w:rsidRPr="00352D26" w:rsidRDefault="008F756F" w:rsidP="00DF0FE0">
      <w:pPr>
        <w:pStyle w:val="NoSpacing"/>
        <w:spacing w:line="480" w:lineRule="auto"/>
        <w:rPr>
          <w:rFonts w:ascii="Times New Roman" w:hAnsi="Times New Roman"/>
          <w:b/>
          <w:sz w:val="24"/>
          <w:szCs w:val="24"/>
        </w:rPr>
      </w:pPr>
      <w:r w:rsidRPr="00352D26">
        <w:rPr>
          <w:rFonts w:ascii="Times New Roman" w:hAnsi="Times New Roman"/>
          <w:b/>
          <w:sz w:val="24"/>
          <w:szCs w:val="24"/>
        </w:rPr>
        <w:t>Procedure</w:t>
      </w:r>
    </w:p>
    <w:p w:rsidR="008F756F" w:rsidRDefault="008F756F" w:rsidP="00DF0FE0">
      <w:pPr>
        <w:pStyle w:val="NoSpacing"/>
        <w:spacing w:line="480" w:lineRule="auto"/>
        <w:rPr>
          <w:rFonts w:ascii="Times New Roman" w:hAnsi="Times New Roman"/>
          <w:i/>
          <w:sz w:val="24"/>
          <w:szCs w:val="24"/>
        </w:rPr>
      </w:pPr>
      <w:r>
        <w:rPr>
          <w:rFonts w:ascii="Times New Roman" w:hAnsi="Times New Roman"/>
          <w:i/>
          <w:sz w:val="24"/>
          <w:szCs w:val="24"/>
        </w:rPr>
        <w:tab/>
      </w:r>
      <w:r>
        <w:rPr>
          <w:rFonts w:ascii="Times New Roman" w:hAnsi="Times New Roman"/>
          <w:sz w:val="24"/>
          <w:szCs w:val="24"/>
        </w:rPr>
        <w:t xml:space="preserve">The study was reviewed and approved by an institution review board. </w:t>
      </w:r>
      <w:r w:rsidRPr="00041B6E">
        <w:rPr>
          <w:rFonts w:ascii="Times New Roman" w:hAnsi="Times New Roman"/>
          <w:sz w:val="24"/>
          <w:szCs w:val="24"/>
        </w:rPr>
        <w:t>Two</w:t>
      </w:r>
      <w:r>
        <w:rPr>
          <w:rFonts w:ascii="Times New Roman" w:hAnsi="Times New Roman"/>
          <w:i/>
          <w:sz w:val="24"/>
          <w:szCs w:val="24"/>
        </w:rPr>
        <w:t xml:space="preserve"> </w:t>
      </w:r>
      <w:r>
        <w:rPr>
          <w:rFonts w:ascii="Times New Roman" w:hAnsi="Times New Roman"/>
          <w:sz w:val="24"/>
          <w:szCs w:val="24"/>
        </w:rPr>
        <w:t>b</w:t>
      </w:r>
      <w:r w:rsidRPr="00C111A9">
        <w:rPr>
          <w:rFonts w:ascii="Times New Roman" w:hAnsi="Times New Roman"/>
          <w:sz w:val="24"/>
          <w:szCs w:val="24"/>
        </w:rPr>
        <w:t>ilingual university</w:t>
      </w:r>
      <w:r>
        <w:rPr>
          <w:rFonts w:ascii="Times New Roman" w:hAnsi="Times New Roman"/>
          <w:sz w:val="24"/>
          <w:szCs w:val="24"/>
        </w:rPr>
        <w:t xml:space="preserve"> extension employees who routinely work with low-income, Spanish-speaking populations helped identify and recruit participants. Participants were compensated $25 in gift cards for completing</w:t>
      </w:r>
      <w:r w:rsidRPr="00A30519">
        <w:rPr>
          <w:rFonts w:ascii="Times New Roman" w:hAnsi="Times New Roman"/>
          <w:sz w:val="24"/>
          <w:szCs w:val="24"/>
        </w:rPr>
        <w:t xml:space="preserve"> the 9</w:t>
      </w:r>
      <w:r>
        <w:rPr>
          <w:rFonts w:ascii="Times New Roman" w:hAnsi="Times New Roman"/>
          <w:sz w:val="24"/>
          <w:szCs w:val="24"/>
        </w:rPr>
        <w:t>-</w:t>
      </w:r>
      <w:r w:rsidRPr="00A30519">
        <w:rPr>
          <w:rFonts w:ascii="Times New Roman" w:hAnsi="Times New Roman"/>
          <w:sz w:val="24"/>
          <w:szCs w:val="24"/>
        </w:rPr>
        <w:t xml:space="preserve">page </w:t>
      </w:r>
      <w:r>
        <w:rPr>
          <w:rFonts w:ascii="Times New Roman" w:hAnsi="Times New Roman"/>
          <w:sz w:val="24"/>
          <w:szCs w:val="24"/>
        </w:rPr>
        <w:t xml:space="preserve">Spanish </w:t>
      </w:r>
      <w:r w:rsidRPr="00A30519">
        <w:rPr>
          <w:rFonts w:ascii="Times New Roman" w:hAnsi="Times New Roman"/>
          <w:sz w:val="24"/>
          <w:szCs w:val="24"/>
        </w:rPr>
        <w:t>survey</w:t>
      </w:r>
      <w:r>
        <w:rPr>
          <w:rFonts w:ascii="Times New Roman" w:hAnsi="Times New Roman"/>
          <w:sz w:val="24"/>
          <w:szCs w:val="24"/>
        </w:rPr>
        <w:t>. Participants could have the survey read to them</w:t>
      </w:r>
      <w:r w:rsidRPr="00A30519">
        <w:rPr>
          <w:rFonts w:ascii="Times New Roman" w:hAnsi="Times New Roman"/>
          <w:sz w:val="24"/>
          <w:szCs w:val="24"/>
        </w:rPr>
        <w:t xml:space="preserve"> (excluding the </w:t>
      </w:r>
      <w:r>
        <w:rPr>
          <w:rFonts w:ascii="Times New Roman" w:hAnsi="Times New Roman"/>
          <w:sz w:val="24"/>
          <w:szCs w:val="24"/>
        </w:rPr>
        <w:t>health literacy measures</w:t>
      </w:r>
      <w:r w:rsidRPr="00A30519">
        <w:rPr>
          <w:rFonts w:ascii="Times New Roman" w:hAnsi="Times New Roman"/>
          <w:sz w:val="24"/>
          <w:szCs w:val="24"/>
        </w:rPr>
        <w:t>).</w:t>
      </w:r>
    </w:p>
    <w:p w:rsidR="008F756F" w:rsidRPr="00352D26" w:rsidRDefault="008F756F" w:rsidP="00DF0FE0">
      <w:pPr>
        <w:pStyle w:val="NoSpacing"/>
        <w:spacing w:line="480" w:lineRule="auto"/>
        <w:rPr>
          <w:rFonts w:ascii="Times New Roman" w:hAnsi="Times New Roman"/>
          <w:b/>
          <w:sz w:val="24"/>
          <w:szCs w:val="24"/>
        </w:rPr>
      </w:pPr>
      <w:r>
        <w:rPr>
          <w:rFonts w:ascii="Times New Roman" w:hAnsi="Times New Roman"/>
          <w:b/>
          <w:sz w:val="24"/>
          <w:szCs w:val="24"/>
        </w:rPr>
        <w:t>Measures</w:t>
      </w:r>
    </w:p>
    <w:p w:rsidR="008F756F" w:rsidRPr="00F74999" w:rsidRDefault="008F756F" w:rsidP="00DF0FE0">
      <w:pPr>
        <w:pStyle w:val="NoSpacing"/>
        <w:spacing w:line="480" w:lineRule="auto"/>
        <w:ind w:firstLine="720"/>
        <w:rPr>
          <w:rFonts w:ascii="Times New Roman" w:hAnsi="Times New Roman"/>
          <w:i/>
          <w:sz w:val="24"/>
          <w:szCs w:val="24"/>
        </w:rPr>
      </w:pPr>
      <w:r>
        <w:rPr>
          <w:rFonts w:ascii="Times New Roman" w:hAnsi="Times New Roman"/>
          <w:color w:val="000000"/>
          <w:sz w:val="24"/>
          <w:szCs w:val="24"/>
        </w:rPr>
        <w:t xml:space="preserve">Control variables included </w:t>
      </w:r>
      <w:r w:rsidRPr="00F74999">
        <w:rPr>
          <w:rFonts w:ascii="Times New Roman" w:hAnsi="Times New Roman"/>
          <w:color w:val="000000"/>
          <w:sz w:val="24"/>
          <w:szCs w:val="24"/>
        </w:rPr>
        <w:t>educati</w:t>
      </w:r>
      <w:r>
        <w:rPr>
          <w:rFonts w:ascii="Times New Roman" w:hAnsi="Times New Roman"/>
          <w:color w:val="000000"/>
          <w:sz w:val="24"/>
          <w:szCs w:val="24"/>
        </w:rPr>
        <w:t>on (</w:t>
      </w:r>
      <w:r w:rsidR="00E26361">
        <w:rPr>
          <w:rFonts w:ascii="Times New Roman" w:hAnsi="Times New Roman"/>
          <w:i/>
          <w:color w:val="000000"/>
          <w:sz w:val="24"/>
          <w:szCs w:val="24"/>
        </w:rPr>
        <w:t>operationalized by highest grade completed; e.g., 1 = 1</w:t>
      </w:r>
      <w:r w:rsidR="00E26361" w:rsidRPr="00E26361">
        <w:rPr>
          <w:rFonts w:ascii="Times New Roman" w:hAnsi="Times New Roman"/>
          <w:i/>
          <w:color w:val="000000"/>
          <w:sz w:val="24"/>
          <w:szCs w:val="24"/>
          <w:vertAlign w:val="superscript"/>
        </w:rPr>
        <w:t>st</w:t>
      </w:r>
      <w:r w:rsidR="00E26361">
        <w:rPr>
          <w:rFonts w:ascii="Times New Roman" w:hAnsi="Times New Roman"/>
          <w:i/>
          <w:color w:val="000000"/>
          <w:sz w:val="24"/>
          <w:szCs w:val="24"/>
        </w:rPr>
        <w:t xml:space="preserve"> grade education, 12 = high school degree</w:t>
      </w:r>
      <w:r w:rsidRPr="00F74999">
        <w:rPr>
          <w:rFonts w:ascii="Times New Roman" w:hAnsi="Times New Roman"/>
          <w:color w:val="000000"/>
          <w:sz w:val="24"/>
          <w:szCs w:val="24"/>
        </w:rPr>
        <w:t xml:space="preserve">), age, </w:t>
      </w:r>
      <w:r>
        <w:rPr>
          <w:rFonts w:ascii="Times New Roman" w:hAnsi="Times New Roman"/>
          <w:color w:val="000000"/>
          <w:sz w:val="24"/>
          <w:szCs w:val="24"/>
        </w:rPr>
        <w:t xml:space="preserve">and language acculturation </w:t>
      </w:r>
      <w:r>
        <w:rPr>
          <w:rFonts w:ascii="Times New Roman" w:hAnsi="Times New Roman"/>
          <w:noProof/>
          <w:color w:val="000000"/>
          <w:sz w:val="24"/>
          <w:szCs w:val="24"/>
        </w:rPr>
        <w:t>[7]</w:t>
      </w:r>
      <w:r w:rsidRPr="00F74999">
        <w:rPr>
          <w:rFonts w:ascii="Times New Roman" w:hAnsi="Times New Roman"/>
          <w:color w:val="000000"/>
          <w:sz w:val="24"/>
          <w:szCs w:val="24"/>
        </w:rPr>
        <w:t>.</w:t>
      </w:r>
    </w:p>
    <w:p w:rsidR="008F756F" w:rsidRDefault="008F756F" w:rsidP="00DF0FE0">
      <w:pPr>
        <w:pStyle w:val="NoSpacing"/>
        <w:tabs>
          <w:tab w:val="left" w:pos="5850"/>
        </w:tabs>
        <w:spacing w:line="480" w:lineRule="auto"/>
        <w:ind w:firstLine="720"/>
        <w:rPr>
          <w:rFonts w:ascii="Times New Roman" w:hAnsi="Times New Roman"/>
          <w:color w:val="000000"/>
          <w:sz w:val="24"/>
          <w:szCs w:val="24"/>
        </w:rPr>
      </w:pPr>
      <w:r>
        <w:rPr>
          <w:rFonts w:ascii="Times New Roman" w:hAnsi="Times New Roman"/>
          <w:sz w:val="24"/>
          <w:szCs w:val="24"/>
        </w:rPr>
        <w:lastRenderedPageBreak/>
        <w:t>Participants completed two 5-item scales: Nutrition Self-Efficacy and Physical Exercise Self-Efficacy</w:t>
      </w:r>
      <w:r>
        <w:rPr>
          <w:rFonts w:ascii="Times New Roman" w:hAnsi="Times New Roman"/>
          <w:noProof/>
          <w:sz w:val="24"/>
          <w:szCs w:val="24"/>
        </w:rPr>
        <w:t>[8]</w:t>
      </w:r>
      <w:r>
        <w:rPr>
          <w:rFonts w:ascii="Times New Roman" w:hAnsi="Times New Roman"/>
          <w:sz w:val="24"/>
          <w:szCs w:val="24"/>
        </w:rPr>
        <w:t>. P</w:t>
      </w:r>
      <w:r w:rsidRPr="00282A33">
        <w:rPr>
          <w:rFonts w:ascii="Times New Roman" w:hAnsi="Times New Roman"/>
          <w:color w:val="000000"/>
          <w:sz w:val="24"/>
          <w:szCs w:val="24"/>
        </w:rPr>
        <w:t xml:space="preserve">articipants </w:t>
      </w:r>
      <w:r>
        <w:rPr>
          <w:rFonts w:ascii="Times New Roman" w:hAnsi="Times New Roman"/>
          <w:color w:val="000000"/>
          <w:sz w:val="24"/>
          <w:szCs w:val="24"/>
        </w:rPr>
        <w:t>responded</w:t>
      </w:r>
      <w:r w:rsidRPr="00282A33">
        <w:rPr>
          <w:rFonts w:ascii="Times New Roman" w:hAnsi="Times New Roman"/>
          <w:color w:val="000000"/>
          <w:sz w:val="24"/>
          <w:szCs w:val="24"/>
        </w:rPr>
        <w:t xml:space="preserve"> </w:t>
      </w:r>
      <w:r>
        <w:rPr>
          <w:rFonts w:ascii="Times New Roman" w:hAnsi="Times New Roman"/>
          <w:color w:val="000000"/>
          <w:sz w:val="24"/>
          <w:szCs w:val="24"/>
        </w:rPr>
        <w:t>on</w:t>
      </w:r>
      <w:r w:rsidRPr="00282A33">
        <w:rPr>
          <w:rFonts w:ascii="Times New Roman" w:hAnsi="Times New Roman"/>
          <w:color w:val="000000"/>
          <w:sz w:val="24"/>
          <w:szCs w:val="24"/>
        </w:rPr>
        <w:t xml:space="preserve"> a 4-point scale </w:t>
      </w:r>
      <w:r>
        <w:rPr>
          <w:rFonts w:ascii="Times New Roman" w:hAnsi="Times New Roman"/>
          <w:color w:val="000000"/>
          <w:sz w:val="24"/>
          <w:szCs w:val="24"/>
        </w:rPr>
        <w:t xml:space="preserve">(1 = </w:t>
      </w:r>
      <w:r w:rsidRPr="009D325D">
        <w:rPr>
          <w:rFonts w:ascii="Times New Roman" w:hAnsi="Times New Roman"/>
          <w:i/>
          <w:color w:val="000000"/>
          <w:sz w:val="24"/>
          <w:szCs w:val="24"/>
        </w:rPr>
        <w:t>very uncertain</w:t>
      </w:r>
      <w:r>
        <w:rPr>
          <w:rFonts w:ascii="Times New Roman" w:hAnsi="Times New Roman"/>
          <w:color w:val="000000"/>
          <w:sz w:val="24"/>
          <w:szCs w:val="24"/>
        </w:rPr>
        <w:t xml:space="preserve"> to 4 = </w:t>
      </w:r>
      <w:r w:rsidRPr="009D325D">
        <w:rPr>
          <w:rFonts w:ascii="Times New Roman" w:hAnsi="Times New Roman"/>
          <w:i/>
          <w:color w:val="000000"/>
          <w:sz w:val="24"/>
          <w:szCs w:val="24"/>
        </w:rPr>
        <w:t>very certain</w:t>
      </w:r>
      <w:r>
        <w:rPr>
          <w:rFonts w:ascii="Times New Roman" w:hAnsi="Times New Roman"/>
          <w:color w:val="000000"/>
          <w:sz w:val="24"/>
          <w:szCs w:val="24"/>
        </w:rPr>
        <w:t>). The prompt “How certain are you that you could overcome the following barriers? I can manage to stick to healthy</w:t>
      </w:r>
      <w:r w:rsidRPr="00282A33">
        <w:rPr>
          <w:rFonts w:ascii="Times New Roman" w:hAnsi="Times New Roman"/>
          <w:color w:val="000000"/>
          <w:sz w:val="24"/>
          <w:szCs w:val="24"/>
        </w:rPr>
        <w:t xml:space="preserve"> foods…” </w:t>
      </w:r>
      <w:r>
        <w:rPr>
          <w:rFonts w:ascii="Times New Roman" w:hAnsi="Times New Roman"/>
          <w:color w:val="000000"/>
          <w:sz w:val="24"/>
          <w:szCs w:val="24"/>
        </w:rPr>
        <w:t xml:space="preserve">proceeded the nutrition items (e.g., </w:t>
      </w:r>
      <w:r w:rsidRPr="00282A33">
        <w:rPr>
          <w:rFonts w:ascii="Times New Roman" w:hAnsi="Times New Roman"/>
          <w:color w:val="000000"/>
          <w:sz w:val="24"/>
          <w:szCs w:val="24"/>
        </w:rPr>
        <w:t>“…even if I need a long time to develop the necessary routines”</w:t>
      </w:r>
      <w:r>
        <w:rPr>
          <w:rFonts w:ascii="Times New Roman" w:hAnsi="Times New Roman"/>
          <w:color w:val="000000"/>
          <w:sz w:val="24"/>
          <w:szCs w:val="24"/>
        </w:rPr>
        <w:t xml:space="preserve">). Items were reliable (Cronbach’s </w:t>
      </w:r>
      <w:r w:rsidRPr="00E50F59">
        <w:rPr>
          <w:rFonts w:ascii="Times New Roman" w:hAnsi="Times New Roman"/>
          <w:color w:val="000000"/>
          <w:sz w:val="24"/>
          <w:szCs w:val="24"/>
        </w:rPr>
        <w:t>alpha</w:t>
      </w:r>
      <w:r>
        <w:rPr>
          <w:rFonts w:ascii="Times New Roman" w:hAnsi="Times New Roman"/>
          <w:color w:val="000000"/>
          <w:sz w:val="24"/>
          <w:szCs w:val="24"/>
        </w:rPr>
        <w:t xml:space="preserve"> = .86)</w:t>
      </w:r>
      <w:r w:rsidRPr="00CB1C20">
        <w:rPr>
          <w:rFonts w:ascii="Times New Roman" w:hAnsi="Times New Roman"/>
          <w:color w:val="000000"/>
          <w:sz w:val="24"/>
          <w:szCs w:val="24"/>
        </w:rPr>
        <w:t>.</w:t>
      </w:r>
      <w:r w:rsidRPr="0025576E">
        <w:rPr>
          <w:rFonts w:ascii="Times New Roman" w:hAnsi="Times New Roman"/>
          <w:color w:val="000000"/>
          <w:sz w:val="24"/>
          <w:szCs w:val="24"/>
        </w:rPr>
        <w:t xml:space="preserve"> </w:t>
      </w:r>
      <w:r>
        <w:rPr>
          <w:rFonts w:ascii="Times New Roman" w:hAnsi="Times New Roman"/>
          <w:color w:val="000000"/>
          <w:sz w:val="24"/>
          <w:szCs w:val="24"/>
        </w:rPr>
        <w:t xml:space="preserve">The prompt “How certain are you that you could overcome the following barriers? I can manage </w:t>
      </w:r>
      <w:r w:rsidRPr="00282A33">
        <w:rPr>
          <w:rFonts w:ascii="Times New Roman" w:hAnsi="Times New Roman"/>
          <w:color w:val="000000"/>
          <w:sz w:val="24"/>
          <w:szCs w:val="24"/>
        </w:rPr>
        <w:t xml:space="preserve">to </w:t>
      </w:r>
      <w:r>
        <w:rPr>
          <w:rFonts w:ascii="Times New Roman" w:hAnsi="Times New Roman"/>
          <w:color w:val="000000"/>
          <w:sz w:val="24"/>
          <w:szCs w:val="24"/>
        </w:rPr>
        <w:t>carry out my intentions to exercise</w:t>
      </w:r>
      <w:r w:rsidRPr="00282A33">
        <w:rPr>
          <w:rFonts w:ascii="Times New Roman" w:hAnsi="Times New Roman"/>
          <w:color w:val="000000"/>
          <w:sz w:val="24"/>
          <w:szCs w:val="24"/>
        </w:rPr>
        <w:t xml:space="preserve">…” </w:t>
      </w:r>
      <w:r>
        <w:rPr>
          <w:rFonts w:ascii="Times New Roman" w:hAnsi="Times New Roman"/>
          <w:color w:val="000000"/>
          <w:sz w:val="24"/>
          <w:szCs w:val="24"/>
        </w:rPr>
        <w:t xml:space="preserve">proceeded the exercise items (e.g., </w:t>
      </w:r>
      <w:r w:rsidRPr="00C355E8">
        <w:rPr>
          <w:rFonts w:ascii="Times New Roman" w:hAnsi="Times New Roman"/>
          <w:color w:val="000000"/>
          <w:sz w:val="24"/>
          <w:szCs w:val="24"/>
        </w:rPr>
        <w:t xml:space="preserve">“…even when I’m tired”). </w:t>
      </w:r>
      <w:r>
        <w:rPr>
          <w:rFonts w:ascii="Times New Roman" w:hAnsi="Times New Roman"/>
          <w:color w:val="000000"/>
          <w:sz w:val="24"/>
          <w:szCs w:val="24"/>
        </w:rPr>
        <w:t>I</w:t>
      </w:r>
      <w:r w:rsidRPr="00C355E8">
        <w:rPr>
          <w:rFonts w:ascii="Times New Roman" w:hAnsi="Times New Roman"/>
          <w:color w:val="000000"/>
          <w:sz w:val="24"/>
          <w:szCs w:val="24"/>
        </w:rPr>
        <w:t>tems were reliable (Cronbach’s alpha= .92).</w:t>
      </w:r>
      <w:r>
        <w:rPr>
          <w:rFonts w:ascii="Times New Roman" w:hAnsi="Times New Roman"/>
          <w:color w:val="000000"/>
          <w:sz w:val="24"/>
          <w:szCs w:val="24"/>
        </w:rPr>
        <w:t xml:space="preserve">  </w:t>
      </w:r>
    </w:p>
    <w:p w:rsidR="008F756F" w:rsidRDefault="008F756F" w:rsidP="00DF0FE0">
      <w:pPr>
        <w:pStyle w:val="NoSpacing"/>
        <w:spacing w:line="480" w:lineRule="auto"/>
        <w:ind w:firstLine="720"/>
        <w:rPr>
          <w:rFonts w:ascii="Times New Roman" w:hAnsi="Times New Roman"/>
          <w:sz w:val="24"/>
          <w:szCs w:val="24"/>
        </w:rPr>
      </w:pPr>
      <w:r>
        <w:rPr>
          <w:rFonts w:ascii="Times New Roman" w:hAnsi="Times New Roman"/>
          <w:sz w:val="24"/>
          <w:szCs w:val="24"/>
        </w:rPr>
        <w:t>H</w:t>
      </w:r>
      <w:r w:rsidRPr="00947D2D">
        <w:rPr>
          <w:rFonts w:ascii="Times New Roman" w:hAnsi="Times New Roman"/>
          <w:sz w:val="24"/>
          <w:szCs w:val="24"/>
        </w:rPr>
        <w:t xml:space="preserve">ealth literacy was assessed using the abbreviated version of the </w:t>
      </w:r>
      <w:r>
        <w:rPr>
          <w:rFonts w:ascii="Times New Roman" w:hAnsi="Times New Roman"/>
          <w:sz w:val="24"/>
          <w:szCs w:val="24"/>
        </w:rPr>
        <w:t xml:space="preserve">Spanish </w:t>
      </w:r>
      <w:r w:rsidRPr="00947D2D">
        <w:rPr>
          <w:rFonts w:ascii="Times New Roman" w:hAnsi="Times New Roman"/>
          <w:sz w:val="24"/>
          <w:szCs w:val="24"/>
        </w:rPr>
        <w:t>Test of Functional Health Literacy in Adults (TOFHLA</w:t>
      </w:r>
      <w:r>
        <w:rPr>
          <w:rFonts w:ascii="Times New Roman" w:hAnsi="Times New Roman"/>
          <w:sz w:val="24"/>
          <w:szCs w:val="24"/>
        </w:rPr>
        <w:t>-S)</w:t>
      </w:r>
      <w:r w:rsidRPr="00947D2D">
        <w:rPr>
          <w:rFonts w:ascii="Times New Roman" w:hAnsi="Times New Roman"/>
          <w:sz w:val="24"/>
          <w:szCs w:val="24"/>
        </w:rPr>
        <w:t xml:space="preserve"> </w:t>
      </w:r>
      <w:r>
        <w:rPr>
          <w:rFonts w:ascii="Times New Roman" w:hAnsi="Times New Roman"/>
          <w:noProof/>
          <w:sz w:val="24"/>
          <w:szCs w:val="24"/>
        </w:rPr>
        <w:t>[9]</w:t>
      </w:r>
      <w:r w:rsidRPr="00947D2D">
        <w:rPr>
          <w:rFonts w:ascii="Times New Roman" w:hAnsi="Times New Roman"/>
          <w:sz w:val="24"/>
          <w:szCs w:val="24"/>
        </w:rPr>
        <w:t xml:space="preserve">. </w:t>
      </w:r>
      <w:r>
        <w:rPr>
          <w:rFonts w:ascii="Times New Roman" w:hAnsi="Times New Roman"/>
          <w:sz w:val="24"/>
          <w:szCs w:val="24"/>
        </w:rPr>
        <w:t>T</w:t>
      </w:r>
      <w:r w:rsidRPr="00947D2D">
        <w:rPr>
          <w:rFonts w:ascii="Times New Roman" w:hAnsi="Times New Roman"/>
          <w:sz w:val="24"/>
          <w:szCs w:val="24"/>
        </w:rPr>
        <w:t>wo short exercises from the reading comprehension and two from the numeracy section were used</w:t>
      </w:r>
      <w:r>
        <w:rPr>
          <w:rFonts w:ascii="Times New Roman" w:hAnsi="Times New Roman"/>
          <w:sz w:val="24"/>
          <w:szCs w:val="24"/>
        </w:rPr>
        <w:t xml:space="preserve"> to calculate the scale</w:t>
      </w:r>
      <w:r>
        <w:rPr>
          <w:rFonts w:ascii="Times New Roman" w:hAnsi="Times New Roman"/>
          <w:noProof/>
          <w:sz w:val="24"/>
          <w:szCs w:val="24"/>
        </w:rPr>
        <w:t>[9]</w:t>
      </w:r>
      <w:r w:rsidRPr="00947D2D">
        <w:rPr>
          <w:rFonts w:ascii="Times New Roman" w:hAnsi="Times New Roman"/>
          <w:sz w:val="24"/>
          <w:szCs w:val="24"/>
        </w:rPr>
        <w:t xml:space="preserve">. </w:t>
      </w:r>
      <w:r>
        <w:rPr>
          <w:rFonts w:ascii="Times New Roman" w:hAnsi="Times New Roman"/>
          <w:sz w:val="24"/>
          <w:szCs w:val="24"/>
        </w:rPr>
        <w:t xml:space="preserve">Health literacy scores ranged from one to 100, with scores </w:t>
      </w:r>
      <w:r w:rsidRPr="00674FF2">
        <w:rPr>
          <w:rFonts w:ascii="Times New Roman" w:hAnsi="Times New Roman"/>
          <w:sz w:val="24"/>
          <w:szCs w:val="24"/>
        </w:rPr>
        <w:t>above 66 considered</w:t>
      </w:r>
      <w:r>
        <w:rPr>
          <w:rFonts w:ascii="Times New Roman" w:hAnsi="Times New Roman"/>
          <w:sz w:val="24"/>
          <w:szCs w:val="24"/>
        </w:rPr>
        <w:t xml:space="preserve"> “adequate” health literacy</w:t>
      </w:r>
      <w:r>
        <w:rPr>
          <w:rFonts w:ascii="Times New Roman" w:hAnsi="Times New Roman"/>
          <w:noProof/>
          <w:sz w:val="24"/>
          <w:szCs w:val="24"/>
        </w:rPr>
        <w:t>[9]</w:t>
      </w:r>
      <w:r>
        <w:rPr>
          <w:rFonts w:ascii="Times New Roman" w:hAnsi="Times New Roman"/>
          <w:sz w:val="24"/>
          <w:szCs w:val="24"/>
        </w:rPr>
        <w:t>. Participants’ scores ranged from 49 to 100 (</w:t>
      </w:r>
      <w:r>
        <w:rPr>
          <w:rFonts w:ascii="Times New Roman" w:hAnsi="Times New Roman"/>
          <w:i/>
          <w:sz w:val="24"/>
          <w:szCs w:val="24"/>
        </w:rPr>
        <w:t xml:space="preserve">M </w:t>
      </w:r>
      <w:r>
        <w:rPr>
          <w:rFonts w:ascii="Times New Roman" w:hAnsi="Times New Roman"/>
          <w:sz w:val="24"/>
          <w:szCs w:val="24"/>
        </w:rPr>
        <w:t xml:space="preserve">= 84.25, </w:t>
      </w:r>
      <w:r>
        <w:rPr>
          <w:rFonts w:ascii="Times New Roman" w:hAnsi="Times New Roman"/>
          <w:i/>
          <w:sz w:val="24"/>
          <w:szCs w:val="24"/>
        </w:rPr>
        <w:t xml:space="preserve">SD </w:t>
      </w:r>
      <w:r>
        <w:rPr>
          <w:rFonts w:ascii="Times New Roman" w:hAnsi="Times New Roman"/>
          <w:sz w:val="24"/>
          <w:szCs w:val="24"/>
        </w:rPr>
        <w:t xml:space="preserve">= 12.86), with 90 adequate health literacy scores. </w:t>
      </w:r>
    </w:p>
    <w:p w:rsidR="008F756F" w:rsidRPr="00A30519" w:rsidRDefault="008F756F" w:rsidP="00DF0FE0">
      <w:pPr>
        <w:pStyle w:val="NoSpacing"/>
        <w:spacing w:line="480" w:lineRule="auto"/>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The stages of change questionnaire assesses various health behaviors</w:t>
      </w:r>
      <w:r>
        <w:rPr>
          <w:rFonts w:ascii="Times New Roman" w:hAnsi="Times New Roman"/>
          <w:noProof/>
          <w:sz w:val="24"/>
          <w:szCs w:val="24"/>
        </w:rPr>
        <w:t>[10]</w:t>
      </w:r>
      <w:r>
        <w:rPr>
          <w:rFonts w:ascii="Times New Roman" w:hAnsi="Times New Roman"/>
          <w:sz w:val="24"/>
          <w:szCs w:val="24"/>
        </w:rPr>
        <w:t xml:space="preserve">, but the current study utilized the four nutrition- and exercise-related items. Four items were individually examined as dependent variables: “Do you consistently eat 5 fruits and vegetables a day?”, “Do you consistently avoid eating high fat foods?”, “Do you exercise three times a week for at least 20 minutes each time?”, and “Have you been trying to lose weight?” Answer sets included: </w:t>
      </w:r>
      <w:r w:rsidRPr="002D6AB2">
        <w:rPr>
          <w:rFonts w:ascii="Times New Roman" w:hAnsi="Times New Roman"/>
          <w:i/>
          <w:sz w:val="24"/>
          <w:szCs w:val="24"/>
        </w:rPr>
        <w:t>No, I do not intend to in the next 6 months</w:t>
      </w:r>
      <w:r>
        <w:rPr>
          <w:rFonts w:ascii="Times New Roman" w:hAnsi="Times New Roman"/>
          <w:sz w:val="24"/>
          <w:szCs w:val="24"/>
        </w:rPr>
        <w:t xml:space="preserve"> (1), </w:t>
      </w:r>
      <w:r w:rsidRPr="002D6AB2">
        <w:rPr>
          <w:rFonts w:ascii="Times New Roman" w:hAnsi="Times New Roman"/>
          <w:i/>
          <w:sz w:val="24"/>
          <w:szCs w:val="24"/>
        </w:rPr>
        <w:t>No, but I intend to in the next 6 months</w:t>
      </w:r>
      <w:r>
        <w:rPr>
          <w:rFonts w:ascii="Times New Roman" w:hAnsi="Times New Roman"/>
          <w:sz w:val="24"/>
          <w:szCs w:val="24"/>
        </w:rPr>
        <w:t xml:space="preserve"> (2), </w:t>
      </w:r>
      <w:r w:rsidRPr="002D6AB2">
        <w:rPr>
          <w:rFonts w:ascii="Times New Roman" w:hAnsi="Times New Roman"/>
          <w:i/>
          <w:sz w:val="24"/>
          <w:szCs w:val="24"/>
        </w:rPr>
        <w:t>No, but I intend to in the next 30 days</w:t>
      </w:r>
      <w:r>
        <w:rPr>
          <w:rFonts w:ascii="Times New Roman" w:hAnsi="Times New Roman"/>
          <w:sz w:val="24"/>
          <w:szCs w:val="24"/>
        </w:rPr>
        <w:t xml:space="preserve"> (3), </w:t>
      </w:r>
      <w:r w:rsidRPr="002D6AB2">
        <w:rPr>
          <w:rFonts w:ascii="Times New Roman" w:hAnsi="Times New Roman"/>
          <w:i/>
          <w:sz w:val="24"/>
          <w:szCs w:val="24"/>
        </w:rPr>
        <w:t>Yes, I have been, but for less than 6 months</w:t>
      </w:r>
      <w:r>
        <w:rPr>
          <w:rFonts w:ascii="Times New Roman" w:hAnsi="Times New Roman"/>
          <w:sz w:val="24"/>
          <w:szCs w:val="24"/>
        </w:rPr>
        <w:t xml:space="preserve"> (4), </w:t>
      </w:r>
      <w:r w:rsidRPr="002D6AB2">
        <w:rPr>
          <w:rFonts w:ascii="Times New Roman" w:hAnsi="Times New Roman"/>
          <w:i/>
          <w:sz w:val="24"/>
          <w:szCs w:val="24"/>
        </w:rPr>
        <w:t>Yes, I have been for more than 6 months</w:t>
      </w:r>
      <w:r>
        <w:rPr>
          <w:rFonts w:ascii="Times New Roman" w:hAnsi="Times New Roman"/>
          <w:sz w:val="24"/>
          <w:szCs w:val="24"/>
        </w:rPr>
        <w:t xml:space="preserve"> (5).   </w:t>
      </w:r>
    </w:p>
    <w:p w:rsidR="008F756F" w:rsidRPr="00196F31" w:rsidRDefault="008F756F" w:rsidP="00A8643D">
      <w:pPr>
        <w:pStyle w:val="NoSpacing"/>
        <w:spacing w:line="480" w:lineRule="auto"/>
        <w:rPr>
          <w:rFonts w:ascii="Times New Roman" w:hAnsi="Times New Roman"/>
          <w:b/>
          <w:sz w:val="24"/>
          <w:szCs w:val="24"/>
        </w:rPr>
      </w:pPr>
      <w:r>
        <w:rPr>
          <w:rFonts w:ascii="Times New Roman" w:hAnsi="Times New Roman"/>
          <w:b/>
          <w:sz w:val="24"/>
          <w:szCs w:val="24"/>
        </w:rPr>
        <w:t>RESULTS</w:t>
      </w:r>
    </w:p>
    <w:p w:rsidR="008F756F" w:rsidRPr="00184EC3" w:rsidRDefault="008F756F" w:rsidP="00DF0FE0">
      <w:pPr>
        <w:pStyle w:val="NoSpacing"/>
        <w:spacing w:line="480" w:lineRule="auto"/>
        <w:rPr>
          <w:rFonts w:ascii="Times New Roman" w:hAnsi="Times New Roman"/>
          <w:sz w:val="24"/>
          <w:szCs w:val="24"/>
        </w:rPr>
      </w:pPr>
      <w:r>
        <w:rPr>
          <w:rFonts w:ascii="Times New Roman" w:hAnsi="Times New Roman"/>
          <w:sz w:val="24"/>
          <w:szCs w:val="24"/>
        </w:rPr>
        <w:lastRenderedPageBreak/>
        <w:tab/>
      </w:r>
      <w:r w:rsidRPr="00F0566C">
        <w:rPr>
          <w:rFonts w:ascii="Times New Roman" w:hAnsi="Times New Roman"/>
          <w:sz w:val="24"/>
          <w:szCs w:val="24"/>
        </w:rPr>
        <w:t xml:space="preserve">Given that less than 5% of the data were missing at random according to Little’s MCAR test, expectation maximization was used. </w:t>
      </w:r>
      <w:r>
        <w:rPr>
          <w:rFonts w:ascii="Times New Roman" w:hAnsi="Times New Roman"/>
          <w:sz w:val="24"/>
          <w:szCs w:val="24"/>
        </w:rPr>
        <w:t xml:space="preserve">Descriptive statistics and correlations are reported in Table I. Four hierarchical regressions were conducted in SPSS 21.0 to examine four behavioral health outcomes (five fruits and vegetables, avoid fatty foods, exercise, and lose weight). Predictor variables were standardized prior to entry, and were entered as follows: Age, education, and language acculturation (Block 1); health literacy </w:t>
      </w:r>
      <w:r w:rsidR="00B47519">
        <w:rPr>
          <w:rFonts w:ascii="Times New Roman" w:hAnsi="Times New Roman"/>
          <w:sz w:val="24"/>
          <w:szCs w:val="24"/>
        </w:rPr>
        <w:t>and</w:t>
      </w:r>
      <w:r>
        <w:rPr>
          <w:rFonts w:ascii="Times New Roman" w:hAnsi="Times New Roman"/>
          <w:sz w:val="24"/>
          <w:szCs w:val="24"/>
        </w:rPr>
        <w:t xml:space="preserve"> nutrition or exercise self-efficacy (as appropriate to the </w:t>
      </w:r>
      <w:r w:rsidR="00B47519">
        <w:rPr>
          <w:rFonts w:ascii="Times New Roman" w:hAnsi="Times New Roman"/>
          <w:sz w:val="24"/>
          <w:szCs w:val="24"/>
        </w:rPr>
        <w:t>dependent variable; Block 2</w:t>
      </w:r>
      <w:r w:rsidRPr="00B7087C">
        <w:rPr>
          <w:rFonts w:ascii="Times New Roman" w:hAnsi="Times New Roman"/>
          <w:sz w:val="24"/>
          <w:szCs w:val="24"/>
        </w:rPr>
        <w:t>); the interaction between health literacy and the relevant self-efficacy</w:t>
      </w:r>
      <w:r w:rsidR="00F36219">
        <w:rPr>
          <w:rFonts w:ascii="Times New Roman" w:hAnsi="Times New Roman"/>
          <w:sz w:val="24"/>
          <w:szCs w:val="24"/>
        </w:rPr>
        <w:t xml:space="preserve"> (Block 3</w:t>
      </w:r>
      <w:bookmarkStart w:id="0" w:name="_GoBack"/>
      <w:bookmarkEnd w:id="0"/>
      <w:r>
        <w:rPr>
          <w:rFonts w:ascii="Times New Roman" w:hAnsi="Times New Roman"/>
          <w:sz w:val="24"/>
          <w:szCs w:val="24"/>
        </w:rPr>
        <w:t>)</w:t>
      </w:r>
      <w:r w:rsidRPr="00B7087C">
        <w:rPr>
          <w:rFonts w:ascii="Times New Roman" w:hAnsi="Times New Roman"/>
          <w:sz w:val="24"/>
          <w:szCs w:val="24"/>
        </w:rPr>
        <w:t>. Interactions were probed using PROCESS and are described using the Johnson-Neyman statistic, which indicates the regions of significance of the moderator at which the relationship between</w:t>
      </w:r>
      <w:r>
        <w:rPr>
          <w:rFonts w:ascii="Times New Roman" w:hAnsi="Times New Roman"/>
          <w:sz w:val="24"/>
          <w:szCs w:val="24"/>
        </w:rPr>
        <w:t xml:space="preserve"> X and Y is statistically significant. Unstandardized regression coefficients are reported for all regressions in Table II and interaction graphs in Figure I.</w:t>
      </w:r>
    </w:p>
    <w:p w:rsidR="008F756F" w:rsidRPr="0010499C" w:rsidRDefault="008F756F" w:rsidP="00DF0FE0">
      <w:pPr>
        <w:pStyle w:val="NoSpacing"/>
        <w:spacing w:line="480" w:lineRule="auto"/>
        <w:ind w:firstLine="720"/>
        <w:rPr>
          <w:rFonts w:ascii="Times New Roman" w:hAnsi="Times New Roman"/>
          <w:sz w:val="24"/>
          <w:szCs w:val="24"/>
        </w:rPr>
      </w:pPr>
      <w:r>
        <w:rPr>
          <w:rFonts w:ascii="Times New Roman" w:hAnsi="Times New Roman"/>
          <w:sz w:val="24"/>
          <w:szCs w:val="24"/>
        </w:rPr>
        <w:t>For H1, the third block was statistically significant and explained 10% of fruit and vegetable (FV) consumption total variance. Nutrition self-efficacy was marginally significant (</w:t>
      </w:r>
      <w:r>
        <w:rPr>
          <w:rFonts w:ascii="Times New Roman" w:hAnsi="Times New Roman"/>
          <w:i/>
          <w:sz w:val="24"/>
          <w:szCs w:val="24"/>
        </w:rPr>
        <w:t xml:space="preserve">B </w:t>
      </w:r>
      <w:r>
        <w:rPr>
          <w:rFonts w:ascii="Times New Roman" w:hAnsi="Times New Roman"/>
          <w:sz w:val="24"/>
          <w:szCs w:val="24"/>
        </w:rPr>
        <w:t xml:space="preserve">= .20, </w:t>
      </w:r>
      <w:r>
        <w:rPr>
          <w:rFonts w:ascii="Times New Roman" w:hAnsi="Times New Roman"/>
          <w:i/>
          <w:sz w:val="24"/>
          <w:szCs w:val="24"/>
        </w:rPr>
        <w:t>p</w:t>
      </w:r>
      <w:r>
        <w:rPr>
          <w:rFonts w:ascii="Times New Roman" w:hAnsi="Times New Roman"/>
          <w:sz w:val="24"/>
          <w:szCs w:val="24"/>
        </w:rPr>
        <w:t xml:space="preserve"> = .09), and the interaction between nutrition self-efficacy and health literacy positively associated (</w:t>
      </w:r>
      <w:r>
        <w:rPr>
          <w:rFonts w:ascii="Times New Roman" w:hAnsi="Times New Roman"/>
          <w:i/>
          <w:sz w:val="24"/>
          <w:szCs w:val="24"/>
        </w:rPr>
        <w:t xml:space="preserve">B </w:t>
      </w:r>
      <w:r>
        <w:rPr>
          <w:rFonts w:ascii="Times New Roman" w:hAnsi="Times New Roman"/>
          <w:sz w:val="24"/>
          <w:szCs w:val="24"/>
        </w:rPr>
        <w:t xml:space="preserve">= .25, </w:t>
      </w:r>
      <w:r>
        <w:rPr>
          <w:rFonts w:ascii="Times New Roman" w:hAnsi="Times New Roman"/>
          <w:i/>
          <w:sz w:val="24"/>
          <w:szCs w:val="24"/>
        </w:rPr>
        <w:t>p</w:t>
      </w:r>
      <w:r>
        <w:rPr>
          <w:rFonts w:ascii="Times New Roman" w:hAnsi="Times New Roman"/>
          <w:sz w:val="24"/>
          <w:szCs w:val="24"/>
        </w:rPr>
        <w:t xml:space="preserve"> =.03) with FV consumption. The Johnson-Neyman statistic indicated that when the participant’s health literacy was above 85.97 (52% of participants), the relationship between nutrition self-efficacy and FV consumption was statistically significant and positive (although it was not statistically significant below 85.97). </w:t>
      </w:r>
    </w:p>
    <w:p w:rsidR="008F756F" w:rsidRDefault="008F756F" w:rsidP="00DF0FE0">
      <w:pPr>
        <w:pStyle w:val="NoSpacing"/>
        <w:spacing w:line="480" w:lineRule="auto"/>
        <w:ind w:firstLine="720"/>
        <w:rPr>
          <w:rFonts w:ascii="Times New Roman" w:hAnsi="Times New Roman"/>
          <w:sz w:val="24"/>
          <w:szCs w:val="24"/>
        </w:rPr>
      </w:pPr>
      <w:r>
        <w:rPr>
          <w:rFonts w:ascii="Times New Roman" w:hAnsi="Times New Roman"/>
          <w:sz w:val="24"/>
          <w:szCs w:val="24"/>
        </w:rPr>
        <w:t>For H2, the third block was marginally significant and explained 9% of avoiding fatty food total variance. In the third block, nutrition self-efficacy positively linked to avoiding fatty foods (</w:t>
      </w:r>
      <w:r>
        <w:rPr>
          <w:rFonts w:ascii="Times New Roman" w:hAnsi="Times New Roman"/>
          <w:i/>
          <w:sz w:val="24"/>
          <w:szCs w:val="24"/>
        </w:rPr>
        <w:t xml:space="preserve">B </w:t>
      </w:r>
      <w:r>
        <w:rPr>
          <w:rFonts w:ascii="Times New Roman" w:hAnsi="Times New Roman"/>
          <w:sz w:val="24"/>
          <w:szCs w:val="24"/>
        </w:rPr>
        <w:t xml:space="preserve">= .25, </w:t>
      </w:r>
      <w:r>
        <w:rPr>
          <w:rFonts w:ascii="Times New Roman" w:hAnsi="Times New Roman"/>
          <w:i/>
          <w:sz w:val="24"/>
          <w:szCs w:val="24"/>
        </w:rPr>
        <w:t>p</w:t>
      </w:r>
      <w:r>
        <w:rPr>
          <w:rFonts w:ascii="Times New Roman" w:hAnsi="Times New Roman"/>
          <w:sz w:val="24"/>
          <w:szCs w:val="24"/>
        </w:rPr>
        <w:t xml:space="preserve"> &lt; .001) and the interaction between self-efficacy and health literacy was marginally significant (</w:t>
      </w:r>
      <w:r>
        <w:rPr>
          <w:rFonts w:ascii="Times New Roman" w:hAnsi="Times New Roman"/>
          <w:i/>
          <w:sz w:val="24"/>
          <w:szCs w:val="24"/>
        </w:rPr>
        <w:t xml:space="preserve">B </w:t>
      </w:r>
      <w:r>
        <w:rPr>
          <w:rFonts w:ascii="Times New Roman" w:hAnsi="Times New Roman"/>
          <w:sz w:val="24"/>
          <w:szCs w:val="24"/>
        </w:rPr>
        <w:t xml:space="preserve">= .21, </w:t>
      </w:r>
      <w:r>
        <w:rPr>
          <w:rFonts w:ascii="Times New Roman" w:hAnsi="Times New Roman"/>
          <w:i/>
          <w:sz w:val="24"/>
          <w:szCs w:val="24"/>
        </w:rPr>
        <w:t>p</w:t>
      </w:r>
      <w:r>
        <w:rPr>
          <w:rFonts w:ascii="Times New Roman" w:hAnsi="Times New Roman"/>
          <w:sz w:val="24"/>
          <w:szCs w:val="24"/>
        </w:rPr>
        <w:t xml:space="preserve"> = .07). The Johnson-Neyman statistic indicated that when the </w:t>
      </w:r>
      <w:r>
        <w:rPr>
          <w:rFonts w:ascii="Times New Roman" w:hAnsi="Times New Roman"/>
          <w:sz w:val="24"/>
          <w:szCs w:val="24"/>
        </w:rPr>
        <w:lastRenderedPageBreak/>
        <w:t xml:space="preserve">participant’s health literacy was above 83.16 (55% of participants), the relationship between nutrition self-efficacy and fatty food avoidance was statistically significant and positive (although it was not statistically significant below 83.16). </w:t>
      </w:r>
    </w:p>
    <w:p w:rsidR="008F756F" w:rsidRPr="00A007CB" w:rsidRDefault="008F756F" w:rsidP="00DF0FE0">
      <w:pPr>
        <w:pStyle w:val="NoSpacing"/>
        <w:spacing w:line="480" w:lineRule="auto"/>
        <w:ind w:firstLine="720"/>
        <w:rPr>
          <w:rFonts w:ascii="Times New Roman" w:hAnsi="Times New Roman"/>
          <w:sz w:val="24"/>
          <w:szCs w:val="24"/>
        </w:rPr>
      </w:pPr>
      <w:r>
        <w:rPr>
          <w:rFonts w:ascii="Times New Roman" w:hAnsi="Times New Roman"/>
          <w:sz w:val="24"/>
          <w:szCs w:val="24"/>
        </w:rPr>
        <w:t>For H3, the second and third block were statistically significant and explained 23% of exercising three times a week total variance. At the third block, exercise self-efficacy positively associated (</w:t>
      </w:r>
      <w:r>
        <w:rPr>
          <w:rFonts w:ascii="Times New Roman" w:hAnsi="Times New Roman"/>
          <w:i/>
          <w:sz w:val="24"/>
          <w:szCs w:val="24"/>
        </w:rPr>
        <w:t xml:space="preserve">B </w:t>
      </w:r>
      <w:r>
        <w:rPr>
          <w:rFonts w:ascii="Times New Roman" w:hAnsi="Times New Roman"/>
          <w:sz w:val="24"/>
          <w:szCs w:val="24"/>
        </w:rPr>
        <w:t xml:space="preserve">= .45, </w:t>
      </w:r>
      <w:r>
        <w:rPr>
          <w:rFonts w:ascii="Times New Roman" w:hAnsi="Times New Roman"/>
          <w:i/>
          <w:sz w:val="24"/>
          <w:szCs w:val="24"/>
        </w:rPr>
        <w:t>p</w:t>
      </w:r>
      <w:r>
        <w:rPr>
          <w:rFonts w:ascii="Times New Roman" w:hAnsi="Times New Roman"/>
          <w:sz w:val="24"/>
          <w:szCs w:val="24"/>
        </w:rPr>
        <w:t xml:space="preserve"> &lt; .001), health literacy negatively associated (</w:t>
      </w:r>
      <w:r>
        <w:rPr>
          <w:rFonts w:ascii="Times New Roman" w:hAnsi="Times New Roman"/>
          <w:i/>
          <w:sz w:val="24"/>
          <w:szCs w:val="24"/>
        </w:rPr>
        <w:t xml:space="preserve">B </w:t>
      </w:r>
      <w:r>
        <w:rPr>
          <w:rFonts w:ascii="Times New Roman" w:hAnsi="Times New Roman"/>
          <w:sz w:val="24"/>
          <w:szCs w:val="24"/>
        </w:rPr>
        <w:t xml:space="preserve">= -.30, </w:t>
      </w:r>
      <w:r>
        <w:rPr>
          <w:rFonts w:ascii="Times New Roman" w:hAnsi="Times New Roman"/>
          <w:i/>
          <w:sz w:val="24"/>
          <w:szCs w:val="24"/>
        </w:rPr>
        <w:t>p</w:t>
      </w:r>
      <w:r>
        <w:rPr>
          <w:rFonts w:ascii="Times New Roman" w:hAnsi="Times New Roman"/>
          <w:sz w:val="24"/>
          <w:szCs w:val="24"/>
        </w:rPr>
        <w:t xml:space="preserve"> = .01), and the two interacted (</w:t>
      </w:r>
      <w:r>
        <w:rPr>
          <w:rFonts w:ascii="Times New Roman" w:hAnsi="Times New Roman"/>
          <w:i/>
          <w:sz w:val="24"/>
          <w:szCs w:val="24"/>
        </w:rPr>
        <w:t xml:space="preserve">B </w:t>
      </w:r>
      <w:r>
        <w:rPr>
          <w:rFonts w:ascii="Times New Roman" w:hAnsi="Times New Roman"/>
          <w:sz w:val="24"/>
          <w:szCs w:val="24"/>
        </w:rPr>
        <w:t xml:space="preserve">= .28, </w:t>
      </w:r>
      <w:r>
        <w:rPr>
          <w:rFonts w:ascii="Times New Roman" w:hAnsi="Times New Roman"/>
          <w:i/>
          <w:sz w:val="24"/>
          <w:szCs w:val="24"/>
        </w:rPr>
        <w:t>p</w:t>
      </w:r>
      <w:r>
        <w:rPr>
          <w:rFonts w:ascii="Times New Roman" w:hAnsi="Times New Roman"/>
          <w:sz w:val="24"/>
          <w:szCs w:val="24"/>
        </w:rPr>
        <w:t xml:space="preserve"> = .01) on exercising. The Johnson-Neyman statistic indicated that when the participant’s health literacy was above 75.12 (77% of participants), the relationship between exercise self-efficacy and exercise was statistically significant and positive (although it was not statistically significant below 75.12)</w:t>
      </w:r>
      <w:r w:rsidRPr="00A007CB">
        <w:rPr>
          <w:rFonts w:ascii="Times New Roman" w:hAnsi="Times New Roman"/>
          <w:sz w:val="24"/>
          <w:szCs w:val="24"/>
        </w:rPr>
        <w:t xml:space="preserve">. </w:t>
      </w:r>
    </w:p>
    <w:p w:rsidR="008F756F" w:rsidRPr="0010499C" w:rsidRDefault="008F756F" w:rsidP="00DF0FE0">
      <w:pPr>
        <w:pStyle w:val="NoSpacing"/>
        <w:spacing w:line="480" w:lineRule="auto"/>
        <w:ind w:firstLine="720"/>
        <w:rPr>
          <w:rFonts w:ascii="Times New Roman" w:hAnsi="Times New Roman"/>
          <w:sz w:val="24"/>
          <w:szCs w:val="24"/>
        </w:rPr>
      </w:pPr>
      <w:r w:rsidRPr="00A007CB">
        <w:rPr>
          <w:rFonts w:ascii="Times New Roman" w:hAnsi="Times New Roman"/>
          <w:sz w:val="24"/>
          <w:szCs w:val="24"/>
        </w:rPr>
        <w:t xml:space="preserve">For H4, </w:t>
      </w:r>
      <w:r>
        <w:rPr>
          <w:rFonts w:ascii="Times New Roman" w:hAnsi="Times New Roman"/>
          <w:sz w:val="24"/>
          <w:szCs w:val="24"/>
        </w:rPr>
        <w:t>none of the three blocks were</w:t>
      </w:r>
      <w:r w:rsidRPr="00A007CB">
        <w:rPr>
          <w:rFonts w:ascii="Times New Roman" w:hAnsi="Times New Roman"/>
          <w:sz w:val="24"/>
          <w:szCs w:val="24"/>
        </w:rPr>
        <w:t xml:space="preserve"> statistically significant </w:t>
      </w:r>
      <w:r>
        <w:rPr>
          <w:rFonts w:ascii="Times New Roman" w:hAnsi="Times New Roman"/>
          <w:sz w:val="24"/>
          <w:szCs w:val="24"/>
        </w:rPr>
        <w:t xml:space="preserve">for </w:t>
      </w:r>
      <w:r w:rsidRPr="00A007CB">
        <w:rPr>
          <w:rFonts w:ascii="Times New Roman" w:hAnsi="Times New Roman"/>
          <w:sz w:val="24"/>
          <w:szCs w:val="24"/>
        </w:rPr>
        <w:t xml:space="preserve">lose weight </w:t>
      </w:r>
      <w:r>
        <w:rPr>
          <w:rFonts w:ascii="Times New Roman" w:hAnsi="Times New Roman"/>
          <w:sz w:val="24"/>
          <w:szCs w:val="24"/>
        </w:rPr>
        <w:t>attempts</w:t>
      </w:r>
      <w:r w:rsidRPr="00A007CB">
        <w:rPr>
          <w:rFonts w:ascii="Times New Roman" w:hAnsi="Times New Roman"/>
          <w:sz w:val="24"/>
          <w:szCs w:val="24"/>
        </w:rPr>
        <w:t xml:space="preserve">, </w:t>
      </w:r>
      <w:r>
        <w:rPr>
          <w:rFonts w:ascii="Times New Roman" w:hAnsi="Times New Roman"/>
          <w:sz w:val="24"/>
          <w:szCs w:val="24"/>
        </w:rPr>
        <w:t>although</w:t>
      </w:r>
      <w:r w:rsidRPr="00A007CB">
        <w:rPr>
          <w:rFonts w:ascii="Times New Roman" w:hAnsi="Times New Roman"/>
          <w:sz w:val="24"/>
          <w:szCs w:val="24"/>
        </w:rPr>
        <w:t xml:space="preserve"> 8% </w:t>
      </w:r>
      <w:r>
        <w:rPr>
          <w:rFonts w:ascii="Times New Roman" w:hAnsi="Times New Roman"/>
          <w:sz w:val="24"/>
          <w:szCs w:val="24"/>
        </w:rPr>
        <w:t>total</w:t>
      </w:r>
      <w:r w:rsidRPr="00A007CB">
        <w:rPr>
          <w:rFonts w:ascii="Times New Roman" w:hAnsi="Times New Roman"/>
          <w:sz w:val="24"/>
          <w:szCs w:val="24"/>
        </w:rPr>
        <w:t xml:space="preserve"> variance</w:t>
      </w:r>
      <w:r>
        <w:rPr>
          <w:rFonts w:ascii="Times New Roman" w:hAnsi="Times New Roman"/>
          <w:sz w:val="24"/>
          <w:szCs w:val="24"/>
        </w:rPr>
        <w:t xml:space="preserve"> was explained</w:t>
      </w:r>
      <w:r w:rsidRPr="00A007CB">
        <w:rPr>
          <w:rFonts w:ascii="Times New Roman" w:hAnsi="Times New Roman"/>
          <w:sz w:val="24"/>
          <w:szCs w:val="24"/>
        </w:rPr>
        <w:t>.</w:t>
      </w:r>
      <w:r>
        <w:rPr>
          <w:rFonts w:ascii="Times New Roman" w:hAnsi="Times New Roman"/>
          <w:sz w:val="24"/>
          <w:szCs w:val="24"/>
        </w:rPr>
        <w:t xml:space="preserve"> Although the block was not statistically significant, exercise self-efficacy positively associated with weight lost attempts (</w:t>
      </w:r>
      <w:r>
        <w:rPr>
          <w:rFonts w:ascii="Times New Roman" w:hAnsi="Times New Roman"/>
          <w:i/>
          <w:sz w:val="24"/>
          <w:szCs w:val="24"/>
        </w:rPr>
        <w:t xml:space="preserve">B </w:t>
      </w:r>
      <w:r>
        <w:rPr>
          <w:rFonts w:ascii="Times New Roman" w:hAnsi="Times New Roman"/>
          <w:sz w:val="24"/>
          <w:szCs w:val="24"/>
        </w:rPr>
        <w:t xml:space="preserve">= .34, </w:t>
      </w:r>
      <w:r>
        <w:rPr>
          <w:rFonts w:ascii="Times New Roman" w:hAnsi="Times New Roman"/>
          <w:i/>
          <w:sz w:val="24"/>
          <w:szCs w:val="24"/>
        </w:rPr>
        <w:t>p</w:t>
      </w:r>
      <w:r>
        <w:rPr>
          <w:rFonts w:ascii="Times New Roman" w:hAnsi="Times New Roman"/>
          <w:sz w:val="24"/>
          <w:szCs w:val="24"/>
        </w:rPr>
        <w:t xml:space="preserve"> = .03). </w:t>
      </w:r>
    </w:p>
    <w:p w:rsidR="008F756F" w:rsidRPr="002D016A" w:rsidRDefault="008F756F" w:rsidP="00A8643D">
      <w:pPr>
        <w:pStyle w:val="NoSpacing"/>
        <w:spacing w:line="480" w:lineRule="auto"/>
        <w:rPr>
          <w:rFonts w:ascii="Times New Roman" w:hAnsi="Times New Roman"/>
          <w:b/>
          <w:sz w:val="24"/>
          <w:szCs w:val="24"/>
        </w:rPr>
      </w:pPr>
      <w:r>
        <w:rPr>
          <w:rFonts w:ascii="Times New Roman" w:hAnsi="Times New Roman"/>
          <w:b/>
          <w:sz w:val="24"/>
          <w:szCs w:val="24"/>
        </w:rPr>
        <w:t>DISCUSSION</w:t>
      </w:r>
    </w:p>
    <w:p w:rsidR="008F756F" w:rsidRDefault="008F756F" w:rsidP="00DF0FE0">
      <w:pPr>
        <w:pStyle w:val="NoSpacing"/>
        <w:spacing w:line="480" w:lineRule="auto"/>
        <w:rPr>
          <w:color w:val="000000"/>
        </w:rPr>
      </w:pPr>
      <w:r>
        <w:rPr>
          <w:rFonts w:ascii="Times New Roman" w:hAnsi="Times New Roman"/>
          <w:sz w:val="24"/>
          <w:szCs w:val="24"/>
        </w:rPr>
        <w:tab/>
        <w:t xml:space="preserve">Based on social cognitive theory, we examined self-efficacy, Spanish health literacy, and the interaction between the two on nutrition and exercise behaviors in 100 low-income, Spanish-speaking individuals. In the final regression block, self-efficacy positively linked to all four outcomes: eating five fruits and vegetables a day, fatty food avoidance, exercising three times a week for at least 20 minutes, and weight loss attempts. More importantly, self-efficacy interacted with health literacy on eating fruits and vegetables, avoiding fatty foods, and exercise, although the interaction was only marginally significant for avoiding fat foods. For all three interactions, as participant’s health literacy increased, the positive relationship between self-efficacy and the health behavior became stronger. The findings highlight the importance of high self-efficacy and </w:t>
      </w:r>
      <w:r>
        <w:rPr>
          <w:rFonts w:ascii="Times New Roman" w:hAnsi="Times New Roman"/>
          <w:sz w:val="24"/>
          <w:szCs w:val="24"/>
        </w:rPr>
        <w:lastRenderedPageBreak/>
        <w:t>high behavioral capability in predicting health behaviors. Self-efficacy was not significantly related to fruits and vegetables without the interaction (i.e., in the second block), echoing past research that has revealed self-efficacy may not always directly affect health behavior, instead acting in conjunction with skill-oriented variables, such as health literacy. Interventions, campaigns, and programs attempting to increase preventative behaviors in low-income, Hispanic populations should emphasize constructing health promotion and efficacy-boosting messages at the level of participant health literacy, and ensure that efficacious individuals have access to health literate appropriate resources.</w:t>
      </w:r>
    </w:p>
    <w:p w:rsidR="008F756F" w:rsidRDefault="008F756F" w:rsidP="00DF0FE0">
      <w:pPr>
        <w:spacing w:line="480" w:lineRule="auto"/>
        <w:ind w:left="720" w:hanging="720"/>
        <w:rPr>
          <w:color w:val="000000"/>
        </w:rPr>
      </w:pPr>
    </w:p>
    <w:p w:rsidR="008F756F" w:rsidRDefault="008F756F" w:rsidP="00DF0FE0">
      <w:pPr>
        <w:pStyle w:val="NoSpacing"/>
        <w:spacing w:line="480" w:lineRule="auto"/>
        <w:rPr>
          <w:rFonts w:ascii="Times New Roman" w:hAnsi="Times New Roman"/>
          <w:sz w:val="24"/>
          <w:szCs w:val="24"/>
        </w:rPr>
        <w:sectPr w:rsidR="008F756F" w:rsidSect="00F3473F">
          <w:headerReference w:type="default" r:id="rId11"/>
          <w:headerReference w:type="first" r:id="rId12"/>
          <w:pgSz w:w="12240" w:h="15840"/>
          <w:pgMar w:top="1440" w:right="1440" w:bottom="1440" w:left="1440" w:header="720" w:footer="720" w:gutter="0"/>
          <w:cols w:space="720"/>
          <w:docGrid w:linePitch="360"/>
        </w:sectPr>
      </w:pPr>
    </w:p>
    <w:p w:rsidR="008F756F" w:rsidRDefault="008F756F" w:rsidP="002D0D1A">
      <w:pPr>
        <w:spacing w:line="480" w:lineRule="auto"/>
      </w:pPr>
      <w:r>
        <w:lastRenderedPageBreak/>
        <w:t>REFERENCES</w:t>
      </w:r>
    </w:p>
    <w:p w:rsidR="008F756F" w:rsidRPr="00223A25" w:rsidRDefault="008F756F" w:rsidP="00EF03A6">
      <w:pPr>
        <w:pStyle w:val="EndNoteBibliography"/>
        <w:spacing w:line="480" w:lineRule="auto"/>
        <w:ind w:left="720" w:hanging="720"/>
      </w:pPr>
      <w:bookmarkStart w:id="1" w:name="_ENREF_1"/>
      <w:r w:rsidRPr="00FC4962">
        <w:t>1.</w:t>
      </w:r>
      <w:r w:rsidRPr="00FC4962">
        <w:tab/>
      </w:r>
      <w:bookmarkEnd w:id="1"/>
      <w:r w:rsidR="00EF03A6">
        <w:t>US Department of Health and Human Services. Healthy people 2020 topics and objectives. Washington, DC: US Department of Health and Human Services; 2011. http://</w:t>
      </w:r>
      <w:r w:rsidR="000642FB" w:rsidRPr="000642FB">
        <w:t xml:space="preserve"> http://www.healthypeople.gov/2020/topics-objectives</w:t>
      </w:r>
      <w:r w:rsidR="00EF03A6">
        <w:t>.</w:t>
      </w:r>
    </w:p>
    <w:p w:rsidR="008F756F" w:rsidRPr="00223A25" w:rsidRDefault="008F756F" w:rsidP="002D0D1A">
      <w:pPr>
        <w:pStyle w:val="EndNoteBibliography"/>
        <w:spacing w:line="480" w:lineRule="auto"/>
        <w:ind w:left="720" w:hanging="720"/>
      </w:pPr>
      <w:bookmarkStart w:id="2" w:name="_ENREF_2"/>
      <w:r w:rsidRPr="00223A25">
        <w:t>2.</w:t>
      </w:r>
      <w:r w:rsidRPr="00223A25">
        <w:tab/>
        <w:t xml:space="preserve">Block G, Patterson B, Subar A. Fruit, vegetables, and cancer prevention: A review of epidemiologic evidence. </w:t>
      </w:r>
      <w:r w:rsidR="00BE6D5E" w:rsidRPr="00BE6D5E">
        <w:t>Nutr Cancer</w:t>
      </w:r>
      <w:r w:rsidRPr="00223A25">
        <w:t xml:space="preserve"> 1992;18:1-29</w:t>
      </w:r>
      <w:bookmarkEnd w:id="2"/>
    </w:p>
    <w:p w:rsidR="008F756F" w:rsidRPr="00223A25" w:rsidRDefault="008F756F" w:rsidP="002D0D1A">
      <w:pPr>
        <w:pStyle w:val="EndNoteBibliography"/>
        <w:spacing w:line="480" w:lineRule="auto"/>
        <w:ind w:left="720" w:hanging="720"/>
      </w:pPr>
      <w:bookmarkStart w:id="3" w:name="_ENREF_3"/>
      <w:r w:rsidRPr="00223A25">
        <w:t>3.</w:t>
      </w:r>
      <w:r w:rsidRPr="00223A25">
        <w:tab/>
        <w:t>D'Alonzo KT, Saimbert MK. Hispanic women and physical activity: An integr</w:t>
      </w:r>
      <w:r w:rsidR="00245674">
        <w:t>ative review. Annu Rev Nurs Res</w:t>
      </w:r>
      <w:r w:rsidRPr="00223A25">
        <w:t xml:space="preserve"> 2013;31:209-234</w:t>
      </w:r>
      <w:bookmarkEnd w:id="3"/>
    </w:p>
    <w:p w:rsidR="008F756F" w:rsidRPr="00223A25" w:rsidRDefault="008F756F" w:rsidP="002D0D1A">
      <w:pPr>
        <w:pStyle w:val="EndNoteBibliography"/>
        <w:spacing w:line="480" w:lineRule="auto"/>
        <w:ind w:left="720" w:hanging="720"/>
      </w:pPr>
      <w:bookmarkStart w:id="4" w:name="_ENREF_4"/>
      <w:r w:rsidRPr="00223A25">
        <w:t>4.</w:t>
      </w:r>
      <w:r w:rsidRPr="00223A25">
        <w:tab/>
        <w:t>Bandura A. Social cognitive theory: An agenti</w:t>
      </w:r>
      <w:r w:rsidR="00245674">
        <w:t>c perspective. Annu Rev Psychol</w:t>
      </w:r>
      <w:r w:rsidRPr="00223A25">
        <w:t xml:space="preserve"> 2001;52:1-26</w:t>
      </w:r>
      <w:bookmarkEnd w:id="4"/>
    </w:p>
    <w:p w:rsidR="008F756F" w:rsidRPr="00223A25" w:rsidRDefault="008F756F" w:rsidP="002D0D1A">
      <w:pPr>
        <w:pStyle w:val="EndNoteBibliography"/>
        <w:spacing w:line="480" w:lineRule="auto"/>
        <w:ind w:left="720" w:hanging="720"/>
      </w:pPr>
      <w:bookmarkStart w:id="5" w:name="_ENREF_5"/>
      <w:r w:rsidRPr="00223A25">
        <w:t>5.</w:t>
      </w:r>
      <w:r w:rsidRPr="00223A25">
        <w:tab/>
        <w:t>Andrus MR, Roth MT. Health lite</w:t>
      </w:r>
      <w:r w:rsidR="00245674">
        <w:t>racy: A review. Pharmacotherapy</w:t>
      </w:r>
      <w:r w:rsidRPr="00223A25">
        <w:t xml:space="preserve"> 2002;22:282-302.</w:t>
      </w:r>
      <w:bookmarkEnd w:id="5"/>
    </w:p>
    <w:p w:rsidR="008F756F" w:rsidRPr="00223A25" w:rsidRDefault="008F756F" w:rsidP="002D0D1A">
      <w:pPr>
        <w:pStyle w:val="EndNoteBibliography"/>
        <w:spacing w:line="480" w:lineRule="auto"/>
        <w:ind w:left="720" w:hanging="720"/>
      </w:pPr>
      <w:bookmarkStart w:id="6" w:name="_ENREF_6"/>
      <w:r w:rsidRPr="00223A25">
        <w:t>6.</w:t>
      </w:r>
      <w:r w:rsidRPr="00223A25">
        <w:tab/>
        <w:t xml:space="preserve">Dominick GM, Dunsiger S, Pekmezi DW, Marcus B. Health literacy predicts change in physical activity self-efficacy among sedentary Latinas. </w:t>
      </w:r>
      <w:r w:rsidR="008B2EDB" w:rsidRPr="008B2EDB">
        <w:t>J Immigrant Minority Health</w:t>
      </w:r>
      <w:r w:rsidRPr="00223A25">
        <w:t xml:space="preserve"> 2013;15:533-539</w:t>
      </w:r>
      <w:bookmarkEnd w:id="6"/>
    </w:p>
    <w:p w:rsidR="008F756F" w:rsidRPr="00223A25" w:rsidRDefault="008F756F" w:rsidP="002D0D1A">
      <w:pPr>
        <w:pStyle w:val="EndNoteBibliography"/>
        <w:spacing w:line="480" w:lineRule="auto"/>
        <w:ind w:left="720" w:hanging="720"/>
      </w:pPr>
      <w:bookmarkStart w:id="7" w:name="_ENREF_7"/>
      <w:r w:rsidRPr="00223A25">
        <w:t>7.</w:t>
      </w:r>
      <w:r w:rsidRPr="00223A25">
        <w:tab/>
        <w:t>Marin G, Sabogal F, Marin BV, Otero-Sabogal R, Perez-Stable EJ. Development of a short acculturation scale for Hispanics. Hispanic</w:t>
      </w:r>
      <w:r w:rsidR="00245674">
        <w:t xml:space="preserve"> Journal of Behavioral Sciences</w:t>
      </w:r>
      <w:r w:rsidRPr="00223A25">
        <w:t xml:space="preserve"> 1987;9:183-205</w:t>
      </w:r>
      <w:bookmarkEnd w:id="7"/>
    </w:p>
    <w:p w:rsidR="008F756F" w:rsidRPr="00FC4962" w:rsidRDefault="008F756F" w:rsidP="002D0D1A">
      <w:pPr>
        <w:pStyle w:val="EndNoteBibliography"/>
        <w:spacing w:line="480" w:lineRule="auto"/>
        <w:ind w:left="720" w:hanging="720"/>
      </w:pPr>
      <w:bookmarkStart w:id="8" w:name="_ENREF_8"/>
      <w:r w:rsidRPr="00223A25">
        <w:t>8.</w:t>
      </w:r>
      <w:r w:rsidRPr="00223A25">
        <w:tab/>
      </w:r>
      <w:r w:rsidR="00C43E73" w:rsidRPr="00C43E73">
        <w:t xml:space="preserve">Schwarzer </w:t>
      </w:r>
      <w:r w:rsidR="00C43E73">
        <w:t xml:space="preserve">R, Renner B. </w:t>
      </w:r>
      <w:r w:rsidRPr="00223A25">
        <w:t>Health-specific self-efficacy scales</w:t>
      </w:r>
      <w:r w:rsidR="00C43E73">
        <w:t>.</w:t>
      </w:r>
      <w:r w:rsidRPr="00223A25">
        <w:t xml:space="preserve"> [http</w:t>
      </w:r>
      <w:r w:rsidRPr="008F756F">
        <w:t>://userpage.fu-berlin.de/health/healself.pdf</w:t>
      </w:r>
      <w:r w:rsidRPr="00FC4962">
        <w:t>]</w:t>
      </w:r>
      <w:bookmarkEnd w:id="8"/>
    </w:p>
    <w:p w:rsidR="008F756F" w:rsidRPr="00FC4962" w:rsidRDefault="008F756F" w:rsidP="002D0D1A">
      <w:pPr>
        <w:pStyle w:val="EndNoteBibliography"/>
        <w:spacing w:line="480" w:lineRule="auto"/>
        <w:ind w:left="720" w:hanging="720"/>
      </w:pPr>
      <w:bookmarkStart w:id="9" w:name="_ENREF_9"/>
      <w:r w:rsidRPr="00FC4962">
        <w:t>9.</w:t>
      </w:r>
      <w:r w:rsidRPr="00FC4962">
        <w:tab/>
        <w:t xml:space="preserve">Baker DW, Williams MV, Parker RM, Gazmararian JA, Nurss J. Development of a brief test to measure functional health literacy. </w:t>
      </w:r>
      <w:r w:rsidRPr="004C0BFD">
        <w:t>Patient Educ Couns</w:t>
      </w:r>
      <w:r w:rsidRPr="00FC4962">
        <w:t>. 1999;38:33-42</w:t>
      </w:r>
      <w:bookmarkEnd w:id="9"/>
    </w:p>
    <w:p w:rsidR="008F756F" w:rsidRDefault="008F756F" w:rsidP="00EC5637">
      <w:pPr>
        <w:pStyle w:val="EndNoteBibliography"/>
        <w:spacing w:line="480" w:lineRule="auto"/>
        <w:ind w:left="720" w:hanging="720"/>
        <w:sectPr w:rsidR="008F756F" w:rsidSect="00143994">
          <w:pgSz w:w="12240" w:h="15840"/>
          <w:pgMar w:top="1440" w:right="1440" w:bottom="1440" w:left="1440" w:header="720" w:footer="720" w:gutter="0"/>
          <w:cols w:space="720"/>
          <w:docGrid w:linePitch="360"/>
        </w:sectPr>
      </w:pPr>
      <w:bookmarkStart w:id="10" w:name="_ENREF_10"/>
      <w:r w:rsidRPr="00FC4962">
        <w:t>10.</w:t>
      </w:r>
      <w:r w:rsidRPr="00FC4962">
        <w:tab/>
        <w:t xml:space="preserve">Prochaska JO, Velicer WF. The </w:t>
      </w:r>
      <w:r w:rsidR="002844F7">
        <w:t>t</w:t>
      </w:r>
      <w:r w:rsidRPr="004C0BFD">
        <w:t xml:space="preserve">ranstheoretical </w:t>
      </w:r>
      <w:r w:rsidR="002844F7">
        <w:t>model of h</w:t>
      </w:r>
      <w:r w:rsidRPr="004C0BFD">
        <w:t xml:space="preserve">ealth </w:t>
      </w:r>
      <w:r w:rsidR="002844F7">
        <w:t>b</w:t>
      </w:r>
      <w:r w:rsidRPr="004C0BFD">
        <w:t xml:space="preserve">ehavior </w:t>
      </w:r>
      <w:r w:rsidR="002844F7">
        <w:t>c</w:t>
      </w:r>
      <w:r w:rsidRPr="004C0BFD">
        <w:t>hange. Am</w:t>
      </w:r>
      <w:r w:rsidR="004C0BFD" w:rsidRPr="004C0BFD">
        <w:t>erican</w:t>
      </w:r>
      <w:r w:rsidRPr="004C0BFD">
        <w:t xml:space="preserve"> J</w:t>
      </w:r>
      <w:r w:rsidR="004C0BFD" w:rsidRPr="004C0BFD">
        <w:t>ournal of</w:t>
      </w:r>
      <w:r w:rsidRPr="004C0BFD">
        <w:t xml:space="preserve"> Health Promot</w:t>
      </w:r>
      <w:r w:rsidR="004C0BFD" w:rsidRPr="004C0BFD">
        <w:t>ion</w:t>
      </w:r>
      <w:r w:rsidRPr="00FC4962">
        <w:t xml:space="preserve"> 1997;12:38-48</w:t>
      </w:r>
      <w:bookmarkEnd w:id="10"/>
      <w:r>
        <w:br w:type="page"/>
      </w:r>
    </w:p>
    <w:p w:rsidR="008F756F" w:rsidRDefault="008F756F" w:rsidP="005D3AC0">
      <w:r>
        <w:lastRenderedPageBreak/>
        <w:t>Table I</w:t>
      </w:r>
    </w:p>
    <w:p w:rsidR="008F756F" w:rsidRDefault="008F756F" w:rsidP="005D3AC0">
      <w:r>
        <w:t>Descriptive Statistics and Correlations</w:t>
      </w:r>
    </w:p>
    <w:tbl>
      <w:tblPr>
        <w:tblW w:w="12771" w:type="dxa"/>
        <w:tblLook w:val="04A0" w:firstRow="1" w:lastRow="0" w:firstColumn="1" w:lastColumn="0" w:noHBand="0" w:noVBand="1"/>
      </w:tblPr>
      <w:tblGrid>
        <w:gridCol w:w="2520"/>
        <w:gridCol w:w="900"/>
        <w:gridCol w:w="1353"/>
        <w:gridCol w:w="669"/>
        <w:gridCol w:w="620"/>
        <w:gridCol w:w="778"/>
        <w:gridCol w:w="711"/>
        <w:gridCol w:w="639"/>
        <w:gridCol w:w="821"/>
        <w:gridCol w:w="711"/>
        <w:gridCol w:w="696"/>
        <w:gridCol w:w="821"/>
        <w:gridCol w:w="711"/>
        <w:gridCol w:w="821"/>
      </w:tblGrid>
      <w:tr w:rsidR="008F756F" w:rsidRPr="002517C3" w:rsidTr="002517C3">
        <w:trPr>
          <w:trHeight w:val="292"/>
        </w:trPr>
        <w:tc>
          <w:tcPr>
            <w:tcW w:w="2520" w:type="dxa"/>
            <w:tcBorders>
              <w:top w:val="single" w:sz="4" w:space="0" w:color="auto"/>
              <w:left w:val="nil"/>
              <w:bottom w:val="nil"/>
              <w:right w:val="nil"/>
            </w:tcBorders>
            <w:shd w:val="clear" w:color="auto" w:fill="auto"/>
            <w:noWrap/>
            <w:vAlign w:val="center"/>
            <w:hideMark/>
          </w:tcPr>
          <w:p w:rsidR="008F756F" w:rsidRPr="002517C3" w:rsidRDefault="008F756F" w:rsidP="002517C3">
            <w:pPr>
              <w:jc w:val="center"/>
              <w:rPr>
                <w:sz w:val="22"/>
                <w:szCs w:val="22"/>
              </w:rPr>
            </w:pPr>
          </w:p>
        </w:tc>
        <w:tc>
          <w:tcPr>
            <w:tcW w:w="900"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center"/>
              <w:rPr>
                <w:i/>
                <w:iCs/>
                <w:color w:val="000000"/>
                <w:sz w:val="22"/>
                <w:szCs w:val="22"/>
              </w:rPr>
            </w:pPr>
            <w:r w:rsidRPr="002517C3">
              <w:rPr>
                <w:i/>
                <w:iCs/>
                <w:color w:val="000000"/>
                <w:sz w:val="22"/>
                <w:szCs w:val="22"/>
              </w:rPr>
              <w:t>Range</w:t>
            </w:r>
          </w:p>
        </w:tc>
        <w:tc>
          <w:tcPr>
            <w:tcW w:w="1353"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center"/>
              <w:rPr>
                <w:i/>
                <w:iCs/>
                <w:color w:val="000000"/>
                <w:sz w:val="22"/>
                <w:szCs w:val="22"/>
              </w:rPr>
            </w:pPr>
            <w:r w:rsidRPr="002517C3">
              <w:rPr>
                <w:i/>
                <w:iCs/>
                <w:color w:val="000000"/>
                <w:sz w:val="22"/>
                <w:szCs w:val="22"/>
              </w:rPr>
              <w:t>M (SD)</w:t>
            </w:r>
          </w:p>
        </w:tc>
        <w:tc>
          <w:tcPr>
            <w:tcW w:w="669"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center"/>
              <w:rPr>
                <w:i/>
                <w:iCs/>
                <w:color w:val="000000"/>
                <w:sz w:val="22"/>
                <w:szCs w:val="22"/>
              </w:rPr>
            </w:pPr>
            <w:r w:rsidRPr="002517C3">
              <w:rPr>
                <w:i/>
                <w:iCs/>
                <w:color w:val="000000"/>
                <w:sz w:val="22"/>
                <w:szCs w:val="22"/>
              </w:rPr>
              <w:t>Skew</w:t>
            </w:r>
          </w:p>
        </w:tc>
        <w:tc>
          <w:tcPr>
            <w:tcW w:w="620"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center"/>
              <w:rPr>
                <w:i/>
                <w:iCs/>
                <w:color w:val="000000"/>
                <w:sz w:val="22"/>
                <w:szCs w:val="22"/>
              </w:rPr>
            </w:pPr>
            <w:r w:rsidRPr="002517C3">
              <w:rPr>
                <w:i/>
                <w:iCs/>
                <w:color w:val="000000"/>
                <w:sz w:val="22"/>
                <w:szCs w:val="22"/>
              </w:rPr>
              <w:t>Kurt</w:t>
            </w:r>
          </w:p>
        </w:tc>
        <w:tc>
          <w:tcPr>
            <w:tcW w:w="778"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sz w:val="22"/>
                <w:szCs w:val="22"/>
              </w:rPr>
            </w:pPr>
            <w:r w:rsidRPr="002517C3">
              <w:rPr>
                <w:sz w:val="22"/>
                <w:szCs w:val="22"/>
              </w:rPr>
              <w:t>1</w:t>
            </w:r>
          </w:p>
        </w:tc>
        <w:tc>
          <w:tcPr>
            <w:tcW w:w="711"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2</w:t>
            </w:r>
          </w:p>
        </w:tc>
        <w:tc>
          <w:tcPr>
            <w:tcW w:w="639"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3</w:t>
            </w:r>
          </w:p>
        </w:tc>
        <w:tc>
          <w:tcPr>
            <w:tcW w:w="821"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4</w:t>
            </w:r>
          </w:p>
        </w:tc>
        <w:tc>
          <w:tcPr>
            <w:tcW w:w="711"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5</w:t>
            </w:r>
          </w:p>
        </w:tc>
        <w:tc>
          <w:tcPr>
            <w:tcW w:w="696"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6</w:t>
            </w:r>
          </w:p>
        </w:tc>
        <w:tc>
          <w:tcPr>
            <w:tcW w:w="821"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7</w:t>
            </w:r>
          </w:p>
        </w:tc>
        <w:tc>
          <w:tcPr>
            <w:tcW w:w="711"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8</w:t>
            </w:r>
          </w:p>
        </w:tc>
        <w:tc>
          <w:tcPr>
            <w:tcW w:w="821" w:type="dxa"/>
            <w:tcBorders>
              <w:top w:val="single" w:sz="4" w:space="0" w:color="auto"/>
              <w:left w:val="nil"/>
              <w:bottom w:val="single" w:sz="4" w:space="0" w:color="auto"/>
              <w:right w:val="nil"/>
            </w:tcBorders>
            <w:shd w:val="clear" w:color="auto" w:fill="auto"/>
            <w:noWrap/>
            <w:vAlign w:val="bottom"/>
            <w:hideMark/>
          </w:tcPr>
          <w:p w:rsidR="008F756F" w:rsidRPr="002517C3" w:rsidRDefault="008F756F" w:rsidP="002517C3">
            <w:pPr>
              <w:jc w:val="right"/>
              <w:rPr>
                <w:color w:val="000000"/>
                <w:sz w:val="22"/>
                <w:szCs w:val="22"/>
              </w:rPr>
            </w:pPr>
            <w:r w:rsidRPr="002517C3">
              <w:rPr>
                <w:color w:val="000000"/>
                <w:sz w:val="22"/>
                <w:szCs w:val="22"/>
              </w:rPr>
              <w:t>9</w:t>
            </w: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1. Age</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18-71</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34.85(11.37)</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.97</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.95</w:t>
            </w:r>
          </w:p>
        </w:tc>
        <w:tc>
          <w:tcPr>
            <w:tcW w:w="778" w:type="dxa"/>
            <w:tcBorders>
              <w:top w:val="nil"/>
              <w:left w:val="nil"/>
              <w:bottom w:val="nil"/>
              <w:right w:val="nil"/>
            </w:tcBorders>
            <w:shd w:val="clear" w:color="auto" w:fill="auto"/>
            <w:noWrap/>
            <w:vAlign w:val="bottom"/>
            <w:hideMark/>
          </w:tcPr>
          <w:p w:rsidR="008F756F" w:rsidRPr="002517C3" w:rsidRDefault="008F756F" w:rsidP="002517C3">
            <w:pPr>
              <w:jc w:val="right"/>
              <w:rPr>
                <w:color w:val="000000"/>
                <w:sz w:val="22"/>
                <w:szCs w:val="22"/>
              </w:rPr>
            </w:pPr>
          </w:p>
        </w:tc>
        <w:tc>
          <w:tcPr>
            <w:tcW w:w="711"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c>
          <w:tcPr>
            <w:tcW w:w="639"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c>
          <w:tcPr>
            <w:tcW w:w="821"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c>
          <w:tcPr>
            <w:tcW w:w="711"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c>
          <w:tcPr>
            <w:tcW w:w="696"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c>
          <w:tcPr>
            <w:tcW w:w="821"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c>
          <w:tcPr>
            <w:tcW w:w="711"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c>
          <w:tcPr>
            <w:tcW w:w="821" w:type="dxa"/>
            <w:tcBorders>
              <w:top w:val="nil"/>
              <w:left w:val="nil"/>
              <w:bottom w:val="nil"/>
              <w:right w:val="nil"/>
            </w:tcBorders>
            <w:shd w:val="clear" w:color="auto" w:fill="auto"/>
            <w:noWrap/>
            <w:vAlign w:val="bottom"/>
            <w:hideMark/>
          </w:tcPr>
          <w:p w:rsidR="008F756F" w:rsidRPr="002517C3" w:rsidRDefault="008F756F" w:rsidP="002517C3">
            <w:pPr>
              <w:rPr>
                <w:sz w:val="22"/>
                <w:szCs w:val="22"/>
              </w:rPr>
            </w:pP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2. Education</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1-14</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4.07(2.50)</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1.60</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2.84</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.02</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r>
      <w:tr w:rsidR="008F756F" w:rsidRPr="002517C3" w:rsidTr="00F92204">
        <w:trPr>
          <w:trHeight w:val="292"/>
        </w:trPr>
        <w:tc>
          <w:tcPr>
            <w:tcW w:w="2520" w:type="dxa"/>
            <w:tcBorders>
              <w:top w:val="nil"/>
              <w:left w:val="nil"/>
              <w:bottom w:val="nil"/>
              <w:right w:val="nil"/>
            </w:tcBorders>
            <w:shd w:val="clear" w:color="auto" w:fill="auto"/>
            <w:noWrap/>
            <w:hideMark/>
          </w:tcPr>
          <w:p w:rsidR="008F756F" w:rsidRPr="002517C3" w:rsidRDefault="008F756F" w:rsidP="00A01F60">
            <w:pPr>
              <w:rPr>
                <w:color w:val="000000"/>
                <w:sz w:val="22"/>
                <w:szCs w:val="22"/>
              </w:rPr>
            </w:pPr>
            <w:r w:rsidRPr="002517C3">
              <w:rPr>
                <w:color w:val="000000"/>
                <w:sz w:val="22"/>
                <w:szCs w:val="22"/>
              </w:rPr>
              <w:t>3. Lang</w:t>
            </w:r>
            <w:r w:rsidRPr="00F92204">
              <w:rPr>
                <w:color w:val="000000"/>
                <w:sz w:val="22"/>
                <w:szCs w:val="22"/>
              </w:rPr>
              <w:t xml:space="preserve"> Acculturation</w:t>
            </w:r>
          </w:p>
        </w:tc>
        <w:tc>
          <w:tcPr>
            <w:tcW w:w="900" w:type="dxa"/>
            <w:tcBorders>
              <w:top w:val="nil"/>
              <w:left w:val="nil"/>
              <w:bottom w:val="nil"/>
              <w:right w:val="nil"/>
            </w:tcBorders>
            <w:shd w:val="clear" w:color="auto" w:fill="auto"/>
            <w:noWrap/>
            <w:hideMark/>
          </w:tcPr>
          <w:p w:rsidR="008F756F" w:rsidRPr="002517C3" w:rsidRDefault="008F756F" w:rsidP="00412112">
            <w:pPr>
              <w:jc w:val="center"/>
              <w:rPr>
                <w:color w:val="000000"/>
                <w:sz w:val="22"/>
                <w:szCs w:val="22"/>
              </w:rPr>
            </w:pPr>
            <w:r w:rsidRPr="002517C3">
              <w:rPr>
                <w:color w:val="000000"/>
                <w:sz w:val="22"/>
                <w:szCs w:val="22"/>
              </w:rPr>
              <w:t>1-4</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sz w:val="22"/>
                <w:szCs w:val="22"/>
              </w:rPr>
            </w:pPr>
            <w:r w:rsidRPr="00F92204">
              <w:rPr>
                <w:sz w:val="22"/>
                <w:szCs w:val="22"/>
              </w:rPr>
              <w:t>1.47(.69)</w:t>
            </w:r>
          </w:p>
        </w:tc>
        <w:tc>
          <w:tcPr>
            <w:tcW w:w="669" w:type="dxa"/>
            <w:tcBorders>
              <w:top w:val="nil"/>
              <w:left w:val="nil"/>
              <w:bottom w:val="nil"/>
              <w:right w:val="nil"/>
            </w:tcBorders>
            <w:shd w:val="clear" w:color="auto" w:fill="auto"/>
            <w:noWrap/>
            <w:hideMark/>
          </w:tcPr>
          <w:p w:rsidR="008F756F" w:rsidRPr="002517C3" w:rsidRDefault="008F756F" w:rsidP="002517C3">
            <w:pPr>
              <w:jc w:val="center"/>
              <w:rPr>
                <w:sz w:val="22"/>
                <w:szCs w:val="22"/>
              </w:rPr>
            </w:pPr>
            <w:r w:rsidRPr="00F92204">
              <w:rPr>
                <w:sz w:val="22"/>
                <w:szCs w:val="22"/>
              </w:rPr>
              <w:t>1.73</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sz w:val="22"/>
                <w:szCs w:val="22"/>
              </w:rPr>
            </w:pPr>
            <w:r w:rsidRPr="00F92204">
              <w:rPr>
                <w:sz w:val="22"/>
                <w:szCs w:val="22"/>
              </w:rPr>
              <w:t>2.36</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-.05</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.32</w:t>
            </w:r>
            <w:r w:rsidRPr="002517C3">
              <w:rPr>
                <w:color w:val="000000"/>
                <w:sz w:val="22"/>
                <w:szCs w:val="22"/>
                <w:vertAlign w:val="superscript"/>
              </w:rPr>
              <w:t>**</w:t>
            </w: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4. Health Literacy</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49-100</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84.25(12.86)</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-.64</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-.10</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-.23*</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.13</w:t>
            </w: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.00</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5. Exercise Self-Efficacy</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1-4</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2.53(.93)</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.10</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-.80</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.14</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.05</w:t>
            </w: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.03</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.40***</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6. Nutrition Self-Efficacy</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1-4</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3.04(.82)</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-.59</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-.37</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.17</w:t>
            </w:r>
            <w:r>
              <w:rPr>
                <w:color w:val="000000"/>
                <w:sz w:val="22"/>
                <w:szCs w:val="22"/>
              </w:rPr>
              <w:t>†</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.26**</w:t>
            </w: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.09</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.11</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.07</w:t>
            </w: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7. Fruits and Veg</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1-5</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3.80(1.10)</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-.44</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-.76</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.07</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.12</w:t>
            </w: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-.02</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.15</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.18</w:t>
            </w:r>
            <w:r>
              <w:rPr>
                <w:color w:val="000000"/>
                <w:sz w:val="22"/>
                <w:szCs w:val="22"/>
              </w:rPr>
              <w:t>†</w:t>
            </w: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.05</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8. Avoid Fatty Food</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1-5</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3.74(1.13)</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-.62</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-.24</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.12</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.00</w:t>
            </w: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-.07</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.16</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.09</w:t>
            </w: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-.01</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.21*</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sz w:val="22"/>
                <w:szCs w:val="22"/>
              </w:rPr>
            </w:pPr>
          </w:p>
        </w:tc>
      </w:tr>
      <w:tr w:rsidR="008F756F" w:rsidRPr="002517C3" w:rsidTr="002517C3">
        <w:trPr>
          <w:trHeight w:val="292"/>
        </w:trPr>
        <w:tc>
          <w:tcPr>
            <w:tcW w:w="2520" w:type="dxa"/>
            <w:tcBorders>
              <w:top w:val="nil"/>
              <w:left w:val="nil"/>
              <w:bottom w:val="nil"/>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9. Lose Weight</w:t>
            </w:r>
          </w:p>
        </w:tc>
        <w:tc>
          <w:tcPr>
            <w:tcW w:w="900"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1-5</w:t>
            </w:r>
          </w:p>
        </w:tc>
        <w:tc>
          <w:tcPr>
            <w:tcW w:w="1353" w:type="dxa"/>
            <w:tcBorders>
              <w:top w:val="nil"/>
              <w:left w:val="nil"/>
              <w:bottom w:val="nil"/>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3.51(1.47)</w:t>
            </w:r>
          </w:p>
        </w:tc>
        <w:tc>
          <w:tcPr>
            <w:tcW w:w="669"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-.61</w:t>
            </w:r>
          </w:p>
        </w:tc>
        <w:tc>
          <w:tcPr>
            <w:tcW w:w="620" w:type="dxa"/>
            <w:tcBorders>
              <w:top w:val="nil"/>
              <w:left w:val="nil"/>
              <w:bottom w:val="nil"/>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-.99</w:t>
            </w:r>
          </w:p>
        </w:tc>
        <w:tc>
          <w:tcPr>
            <w:tcW w:w="778"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.13</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.07</w:t>
            </w:r>
          </w:p>
        </w:tc>
        <w:tc>
          <w:tcPr>
            <w:tcW w:w="639"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.00</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.15</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.23*</w:t>
            </w:r>
          </w:p>
        </w:tc>
        <w:tc>
          <w:tcPr>
            <w:tcW w:w="696"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.04</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.31**</w:t>
            </w:r>
          </w:p>
        </w:tc>
        <w:tc>
          <w:tcPr>
            <w:tcW w:w="71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.24*</w:t>
            </w:r>
          </w:p>
        </w:tc>
        <w:tc>
          <w:tcPr>
            <w:tcW w:w="821" w:type="dxa"/>
            <w:tcBorders>
              <w:top w:val="nil"/>
              <w:left w:val="nil"/>
              <w:bottom w:val="nil"/>
              <w:right w:val="nil"/>
            </w:tcBorders>
            <w:shd w:val="clear" w:color="auto" w:fill="auto"/>
            <w:noWrap/>
            <w:vAlign w:val="center"/>
            <w:hideMark/>
          </w:tcPr>
          <w:p w:rsidR="008F756F" w:rsidRPr="002517C3" w:rsidRDefault="008F756F" w:rsidP="002517C3">
            <w:pPr>
              <w:jc w:val="right"/>
              <w:rPr>
                <w:color w:val="000000"/>
                <w:sz w:val="22"/>
                <w:szCs w:val="22"/>
              </w:rPr>
            </w:pPr>
          </w:p>
        </w:tc>
      </w:tr>
      <w:tr w:rsidR="008F756F" w:rsidRPr="002517C3" w:rsidTr="002517C3">
        <w:trPr>
          <w:trHeight w:val="292"/>
        </w:trPr>
        <w:tc>
          <w:tcPr>
            <w:tcW w:w="2520" w:type="dxa"/>
            <w:tcBorders>
              <w:top w:val="nil"/>
              <w:left w:val="nil"/>
              <w:bottom w:val="single" w:sz="4" w:space="0" w:color="auto"/>
              <w:right w:val="nil"/>
            </w:tcBorders>
            <w:shd w:val="clear" w:color="auto" w:fill="auto"/>
            <w:noWrap/>
            <w:hideMark/>
          </w:tcPr>
          <w:p w:rsidR="008F756F" w:rsidRPr="002517C3" w:rsidRDefault="008F756F" w:rsidP="002517C3">
            <w:pPr>
              <w:rPr>
                <w:color w:val="000000"/>
                <w:sz w:val="22"/>
                <w:szCs w:val="22"/>
              </w:rPr>
            </w:pPr>
            <w:r w:rsidRPr="002517C3">
              <w:rPr>
                <w:color w:val="000000"/>
                <w:sz w:val="22"/>
                <w:szCs w:val="22"/>
              </w:rPr>
              <w:t>10. Exercise</w:t>
            </w:r>
          </w:p>
        </w:tc>
        <w:tc>
          <w:tcPr>
            <w:tcW w:w="900" w:type="dxa"/>
            <w:tcBorders>
              <w:top w:val="nil"/>
              <w:left w:val="nil"/>
              <w:bottom w:val="single" w:sz="4" w:space="0" w:color="auto"/>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1-5</w:t>
            </w:r>
          </w:p>
        </w:tc>
        <w:tc>
          <w:tcPr>
            <w:tcW w:w="1353" w:type="dxa"/>
            <w:tcBorders>
              <w:top w:val="nil"/>
              <w:left w:val="nil"/>
              <w:bottom w:val="single" w:sz="4" w:space="0" w:color="auto"/>
              <w:right w:val="nil"/>
            </w:tcBorders>
            <w:shd w:val="clear" w:color="auto" w:fill="auto"/>
            <w:noWrap/>
            <w:hideMark/>
          </w:tcPr>
          <w:p w:rsidR="008F756F" w:rsidRPr="002517C3" w:rsidRDefault="008F756F" w:rsidP="002517C3">
            <w:pPr>
              <w:jc w:val="center"/>
              <w:rPr>
                <w:color w:val="000000"/>
                <w:sz w:val="22"/>
                <w:szCs w:val="22"/>
              </w:rPr>
            </w:pPr>
            <w:r w:rsidRPr="002517C3">
              <w:rPr>
                <w:color w:val="000000"/>
                <w:sz w:val="22"/>
                <w:szCs w:val="22"/>
              </w:rPr>
              <w:t>3.67(1.24)</w:t>
            </w:r>
          </w:p>
        </w:tc>
        <w:tc>
          <w:tcPr>
            <w:tcW w:w="669" w:type="dxa"/>
            <w:tcBorders>
              <w:top w:val="nil"/>
              <w:left w:val="nil"/>
              <w:bottom w:val="single" w:sz="4" w:space="0" w:color="auto"/>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-.45</w:t>
            </w:r>
          </w:p>
        </w:tc>
        <w:tc>
          <w:tcPr>
            <w:tcW w:w="620" w:type="dxa"/>
            <w:tcBorders>
              <w:top w:val="nil"/>
              <w:left w:val="nil"/>
              <w:bottom w:val="single" w:sz="4" w:space="0" w:color="auto"/>
              <w:right w:val="nil"/>
            </w:tcBorders>
            <w:shd w:val="clear" w:color="auto" w:fill="auto"/>
            <w:noWrap/>
            <w:hideMark/>
          </w:tcPr>
          <w:p w:rsidR="008F756F" w:rsidRPr="002517C3" w:rsidRDefault="008F756F" w:rsidP="002517C3">
            <w:pPr>
              <w:jc w:val="right"/>
              <w:rPr>
                <w:color w:val="000000"/>
                <w:sz w:val="22"/>
                <w:szCs w:val="22"/>
              </w:rPr>
            </w:pPr>
            <w:r w:rsidRPr="002517C3">
              <w:rPr>
                <w:color w:val="000000"/>
                <w:sz w:val="22"/>
                <w:szCs w:val="22"/>
              </w:rPr>
              <w:t>-.91</w:t>
            </w:r>
          </w:p>
        </w:tc>
        <w:tc>
          <w:tcPr>
            <w:tcW w:w="778"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.10</w:t>
            </w:r>
          </w:p>
        </w:tc>
        <w:tc>
          <w:tcPr>
            <w:tcW w:w="711"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.08</w:t>
            </w:r>
          </w:p>
        </w:tc>
        <w:tc>
          <w:tcPr>
            <w:tcW w:w="639"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.00</w:t>
            </w:r>
          </w:p>
        </w:tc>
        <w:tc>
          <w:tcPr>
            <w:tcW w:w="821"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.26**</w:t>
            </w:r>
          </w:p>
        </w:tc>
        <w:tc>
          <w:tcPr>
            <w:tcW w:w="711"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.33**</w:t>
            </w:r>
          </w:p>
        </w:tc>
        <w:tc>
          <w:tcPr>
            <w:tcW w:w="696"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-.19</w:t>
            </w:r>
            <w:r>
              <w:rPr>
                <w:color w:val="000000"/>
                <w:sz w:val="22"/>
                <w:szCs w:val="22"/>
              </w:rPr>
              <w:t>†</w:t>
            </w:r>
          </w:p>
        </w:tc>
        <w:tc>
          <w:tcPr>
            <w:tcW w:w="821"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.39***</w:t>
            </w:r>
          </w:p>
        </w:tc>
        <w:tc>
          <w:tcPr>
            <w:tcW w:w="711"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.27**</w:t>
            </w:r>
          </w:p>
        </w:tc>
        <w:tc>
          <w:tcPr>
            <w:tcW w:w="821" w:type="dxa"/>
            <w:tcBorders>
              <w:top w:val="nil"/>
              <w:left w:val="nil"/>
              <w:bottom w:val="single" w:sz="4" w:space="0" w:color="auto"/>
              <w:right w:val="nil"/>
            </w:tcBorders>
            <w:shd w:val="clear" w:color="auto" w:fill="auto"/>
            <w:noWrap/>
            <w:vAlign w:val="center"/>
            <w:hideMark/>
          </w:tcPr>
          <w:p w:rsidR="008F756F" w:rsidRPr="002517C3" w:rsidRDefault="008F756F" w:rsidP="002517C3">
            <w:pPr>
              <w:jc w:val="right"/>
              <w:rPr>
                <w:color w:val="000000"/>
                <w:sz w:val="22"/>
                <w:szCs w:val="22"/>
              </w:rPr>
            </w:pPr>
            <w:r w:rsidRPr="002517C3">
              <w:rPr>
                <w:color w:val="000000"/>
                <w:sz w:val="22"/>
                <w:szCs w:val="22"/>
              </w:rPr>
              <w:t>.49***</w:t>
            </w:r>
          </w:p>
        </w:tc>
      </w:tr>
    </w:tbl>
    <w:p w:rsidR="008F756F" w:rsidRPr="00A9381B" w:rsidRDefault="008F756F" w:rsidP="005D3AC0">
      <w:pPr>
        <w:pStyle w:val="NoSpacing"/>
        <w:rPr>
          <w:rFonts w:ascii="Times New Roman" w:hAnsi="Times New Roman"/>
          <w:sz w:val="20"/>
          <w:szCs w:val="20"/>
        </w:rPr>
      </w:pPr>
      <w:r w:rsidRPr="00A9381B">
        <w:rPr>
          <w:rFonts w:ascii="Times New Roman" w:hAnsi="Times New Roman"/>
          <w:i/>
          <w:sz w:val="20"/>
          <w:szCs w:val="20"/>
        </w:rPr>
        <w:t xml:space="preserve">Note. </w:t>
      </w:r>
      <w:r w:rsidRPr="00A9381B">
        <w:rPr>
          <w:rFonts w:ascii="Times New Roman" w:hAnsi="Times New Roman"/>
          <w:sz w:val="20"/>
          <w:szCs w:val="20"/>
        </w:rPr>
        <w:t>†</w:t>
      </w:r>
      <w:r w:rsidRPr="00A9381B">
        <w:rPr>
          <w:rFonts w:ascii="Times New Roman" w:hAnsi="Times New Roman"/>
          <w:i/>
          <w:sz w:val="20"/>
          <w:szCs w:val="20"/>
        </w:rPr>
        <w:t>p</w:t>
      </w:r>
      <w:r w:rsidRPr="00A9381B">
        <w:rPr>
          <w:rFonts w:ascii="Times New Roman" w:hAnsi="Times New Roman"/>
          <w:sz w:val="20"/>
          <w:szCs w:val="20"/>
        </w:rPr>
        <w:t xml:space="preserve"> &lt; .10  *</w:t>
      </w:r>
      <w:r w:rsidRPr="00A9381B">
        <w:rPr>
          <w:rFonts w:ascii="Times New Roman" w:hAnsi="Times New Roman"/>
          <w:i/>
          <w:sz w:val="20"/>
          <w:szCs w:val="20"/>
        </w:rPr>
        <w:t>p</w:t>
      </w:r>
      <w:r w:rsidRPr="00A9381B">
        <w:rPr>
          <w:rFonts w:ascii="Times New Roman" w:hAnsi="Times New Roman"/>
          <w:sz w:val="20"/>
          <w:szCs w:val="20"/>
        </w:rPr>
        <w:t xml:space="preserve"> &lt; .05  **</w:t>
      </w:r>
      <w:r w:rsidRPr="00A9381B">
        <w:rPr>
          <w:rFonts w:ascii="Times New Roman" w:hAnsi="Times New Roman"/>
          <w:i/>
          <w:sz w:val="20"/>
          <w:szCs w:val="20"/>
        </w:rPr>
        <w:t>p</w:t>
      </w:r>
      <w:r w:rsidRPr="00A9381B">
        <w:rPr>
          <w:rFonts w:ascii="Times New Roman" w:hAnsi="Times New Roman"/>
          <w:sz w:val="20"/>
          <w:szCs w:val="20"/>
        </w:rPr>
        <w:t xml:space="preserve"> &lt; .01  ***</w:t>
      </w:r>
      <w:r w:rsidRPr="00A9381B">
        <w:rPr>
          <w:rFonts w:ascii="Times New Roman" w:hAnsi="Times New Roman"/>
          <w:i/>
          <w:sz w:val="20"/>
          <w:szCs w:val="20"/>
        </w:rPr>
        <w:t>p</w:t>
      </w:r>
      <w:r w:rsidRPr="00A9381B">
        <w:rPr>
          <w:rFonts w:ascii="Times New Roman" w:hAnsi="Times New Roman"/>
          <w:sz w:val="20"/>
          <w:szCs w:val="20"/>
        </w:rPr>
        <w:t xml:space="preserve"> &lt; .001</w:t>
      </w:r>
    </w:p>
    <w:p w:rsidR="008F756F" w:rsidRDefault="008F756F" w:rsidP="005D3AC0">
      <w:r>
        <w:br w:type="page"/>
      </w:r>
    </w:p>
    <w:p w:rsidR="008F756F" w:rsidRDefault="008F756F" w:rsidP="005D3AC0">
      <w:pPr>
        <w:spacing w:after="200"/>
      </w:pPr>
      <w:r>
        <w:lastRenderedPageBreak/>
        <w:t>Table II</w:t>
      </w:r>
    </w:p>
    <w:p w:rsidR="008F756F" w:rsidRDefault="008F756F" w:rsidP="005D3AC0">
      <w:pPr>
        <w:spacing w:after="200"/>
      </w:pPr>
      <w:r>
        <w:t>Hierarchal Regressions</w:t>
      </w:r>
    </w:p>
    <w:tbl>
      <w:tblPr>
        <w:tblW w:w="11994" w:type="dxa"/>
        <w:tblLook w:val="04A0" w:firstRow="1" w:lastRow="0" w:firstColumn="1" w:lastColumn="0" w:noHBand="0" w:noVBand="1"/>
      </w:tblPr>
      <w:tblGrid>
        <w:gridCol w:w="3600"/>
        <w:gridCol w:w="2064"/>
        <w:gridCol w:w="2064"/>
        <w:gridCol w:w="2262"/>
        <w:gridCol w:w="2004"/>
      </w:tblGrid>
      <w:tr w:rsidR="008F756F" w:rsidRPr="004F2A73" w:rsidTr="00600617">
        <w:trPr>
          <w:trHeight w:val="283"/>
        </w:trPr>
        <w:tc>
          <w:tcPr>
            <w:tcW w:w="3600" w:type="dxa"/>
            <w:tcBorders>
              <w:top w:val="single" w:sz="4" w:space="0" w:color="auto"/>
              <w:left w:val="nil"/>
              <w:bottom w:val="nil"/>
              <w:right w:val="nil"/>
            </w:tcBorders>
            <w:shd w:val="clear" w:color="auto" w:fill="auto"/>
            <w:noWrap/>
            <w:vAlign w:val="center"/>
            <w:hideMark/>
          </w:tcPr>
          <w:p w:rsidR="008F756F" w:rsidRPr="004F2A73" w:rsidRDefault="008F756F" w:rsidP="009A1D5E">
            <w:pPr>
              <w:rPr>
                <w:sz w:val="20"/>
                <w:szCs w:val="20"/>
                <w:u w:val="single"/>
              </w:rPr>
            </w:pPr>
          </w:p>
        </w:tc>
        <w:tc>
          <w:tcPr>
            <w:tcW w:w="2064" w:type="dxa"/>
            <w:tcBorders>
              <w:top w:val="single" w:sz="4" w:space="0" w:color="auto"/>
              <w:left w:val="nil"/>
              <w:bottom w:val="nil"/>
              <w:right w:val="nil"/>
            </w:tcBorders>
            <w:vAlign w:val="bottom"/>
          </w:tcPr>
          <w:p w:rsidR="008F756F" w:rsidRPr="004F2A73" w:rsidRDefault="008F756F" w:rsidP="009A1D5E">
            <w:pPr>
              <w:jc w:val="center"/>
              <w:rPr>
                <w:color w:val="000000"/>
                <w:sz w:val="22"/>
                <w:szCs w:val="22"/>
                <w:u w:val="single"/>
              </w:rPr>
            </w:pPr>
            <w:r w:rsidRPr="004F2A73">
              <w:rPr>
                <w:color w:val="000000"/>
                <w:sz w:val="22"/>
                <w:szCs w:val="22"/>
                <w:u w:val="single"/>
              </w:rPr>
              <w:t>5 Fruits and Veg</w:t>
            </w:r>
          </w:p>
        </w:tc>
        <w:tc>
          <w:tcPr>
            <w:tcW w:w="2064" w:type="dxa"/>
            <w:tcBorders>
              <w:top w:val="single" w:sz="4" w:space="0" w:color="auto"/>
              <w:left w:val="nil"/>
              <w:bottom w:val="nil"/>
              <w:right w:val="nil"/>
            </w:tcBorders>
            <w:shd w:val="clear" w:color="auto" w:fill="auto"/>
            <w:noWrap/>
            <w:vAlign w:val="bottom"/>
            <w:hideMark/>
          </w:tcPr>
          <w:p w:rsidR="008F756F" w:rsidRPr="004F2A73" w:rsidRDefault="008F756F" w:rsidP="009A1D5E">
            <w:pPr>
              <w:jc w:val="center"/>
              <w:rPr>
                <w:color w:val="000000"/>
                <w:sz w:val="22"/>
                <w:szCs w:val="22"/>
                <w:u w:val="single"/>
              </w:rPr>
            </w:pPr>
            <w:r w:rsidRPr="004F2A73">
              <w:rPr>
                <w:color w:val="000000"/>
                <w:sz w:val="22"/>
                <w:szCs w:val="22"/>
                <w:u w:val="single"/>
              </w:rPr>
              <w:t>Avoid Fat</w:t>
            </w:r>
            <w:r>
              <w:rPr>
                <w:color w:val="000000"/>
                <w:sz w:val="22"/>
                <w:szCs w:val="22"/>
                <w:u w:val="single"/>
              </w:rPr>
              <w:t>ty</w:t>
            </w:r>
            <w:r w:rsidRPr="004F2A73">
              <w:rPr>
                <w:color w:val="000000"/>
                <w:sz w:val="22"/>
                <w:szCs w:val="22"/>
                <w:u w:val="single"/>
              </w:rPr>
              <w:t xml:space="preserve"> Food</w:t>
            </w:r>
          </w:p>
        </w:tc>
        <w:tc>
          <w:tcPr>
            <w:tcW w:w="2262" w:type="dxa"/>
            <w:tcBorders>
              <w:top w:val="single" w:sz="4" w:space="0" w:color="auto"/>
              <w:left w:val="nil"/>
              <w:bottom w:val="nil"/>
              <w:right w:val="nil"/>
            </w:tcBorders>
            <w:vAlign w:val="bottom"/>
          </w:tcPr>
          <w:p w:rsidR="008F756F" w:rsidRPr="004F2A73" w:rsidRDefault="008F756F" w:rsidP="009A1D5E">
            <w:pPr>
              <w:jc w:val="center"/>
              <w:rPr>
                <w:color w:val="000000"/>
                <w:sz w:val="22"/>
                <w:szCs w:val="22"/>
                <w:u w:val="single"/>
              </w:rPr>
            </w:pPr>
            <w:r w:rsidRPr="004F2A73">
              <w:rPr>
                <w:color w:val="000000"/>
                <w:sz w:val="22"/>
                <w:szCs w:val="22"/>
                <w:u w:val="single"/>
              </w:rPr>
              <w:t>Exercise</w:t>
            </w:r>
          </w:p>
        </w:tc>
        <w:tc>
          <w:tcPr>
            <w:tcW w:w="2004" w:type="dxa"/>
            <w:tcBorders>
              <w:top w:val="single" w:sz="4" w:space="0" w:color="auto"/>
              <w:left w:val="nil"/>
              <w:bottom w:val="nil"/>
              <w:right w:val="nil"/>
            </w:tcBorders>
            <w:vAlign w:val="bottom"/>
          </w:tcPr>
          <w:p w:rsidR="008F756F" w:rsidRPr="004F2A73" w:rsidRDefault="008F756F" w:rsidP="009A1D5E">
            <w:pPr>
              <w:jc w:val="center"/>
              <w:rPr>
                <w:color w:val="000000"/>
                <w:sz w:val="22"/>
                <w:szCs w:val="22"/>
                <w:u w:val="single"/>
              </w:rPr>
            </w:pPr>
            <w:r w:rsidRPr="004F2A73">
              <w:rPr>
                <w:color w:val="000000"/>
                <w:sz w:val="22"/>
                <w:szCs w:val="22"/>
                <w:u w:val="single"/>
              </w:rPr>
              <w:t>Lose Weight</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Age</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.08</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.13</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.12</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.19</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Education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.15</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.03</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.11</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.11</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Pr>
                <w:color w:val="000000"/>
                <w:sz w:val="22"/>
                <w:szCs w:val="22"/>
              </w:rPr>
              <w:t>Lang Acculturation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-.07</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-.08</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-.04</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-.03</w:t>
            </w:r>
          </w:p>
        </w:tc>
      </w:tr>
      <w:tr w:rsidR="008F756F" w:rsidRPr="004F2A73" w:rsidTr="00600617">
        <w:trPr>
          <w:trHeight w:val="326"/>
        </w:trPr>
        <w:tc>
          <w:tcPr>
            <w:tcW w:w="3600" w:type="dxa"/>
            <w:tcBorders>
              <w:top w:val="nil"/>
              <w:left w:val="nil"/>
              <w:bottom w:val="single" w:sz="4" w:space="0" w:color="auto"/>
              <w:right w:val="nil"/>
            </w:tcBorders>
            <w:shd w:val="clear" w:color="auto" w:fill="auto"/>
            <w:hideMark/>
          </w:tcPr>
          <w:p w:rsidR="008F756F" w:rsidRPr="004F2A73" w:rsidRDefault="008F756F" w:rsidP="009A1D5E">
            <w:pPr>
              <w:rPr>
                <w:i/>
                <w:iCs/>
                <w:color w:val="000000"/>
                <w:sz w:val="22"/>
                <w:szCs w:val="22"/>
              </w:rPr>
            </w:pPr>
            <w:r w:rsidRPr="004F2A73">
              <w:rPr>
                <w:i/>
                <w:iCs/>
                <w:color w:val="000000"/>
                <w:sz w:val="22"/>
                <w:szCs w:val="22"/>
              </w:rPr>
              <w:t>R Squared, F</w:t>
            </w:r>
          </w:p>
        </w:tc>
        <w:tc>
          <w:tcPr>
            <w:tcW w:w="2064"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.75, R</w:t>
            </w:r>
            <w:r w:rsidRPr="004F2A73">
              <w:rPr>
                <w:i/>
                <w:iCs/>
                <w:color w:val="000000"/>
                <w:sz w:val="22"/>
                <w:szCs w:val="22"/>
                <w:vertAlign w:val="superscript"/>
              </w:rPr>
              <w:t>2</w:t>
            </w:r>
            <w:r w:rsidRPr="004F2A73">
              <w:rPr>
                <w:i/>
                <w:iCs/>
                <w:color w:val="000000"/>
                <w:sz w:val="22"/>
                <w:szCs w:val="22"/>
              </w:rPr>
              <w:t xml:space="preserve"> = .02</w:t>
            </w:r>
          </w:p>
        </w:tc>
        <w:tc>
          <w:tcPr>
            <w:tcW w:w="2064" w:type="dxa"/>
            <w:tcBorders>
              <w:top w:val="nil"/>
              <w:left w:val="nil"/>
              <w:bottom w:val="single" w:sz="4" w:space="0" w:color="auto"/>
              <w:right w:val="nil"/>
            </w:tcBorders>
            <w:shd w:val="clear" w:color="auto" w:fill="auto"/>
            <w:noWrap/>
            <w:hideMark/>
          </w:tcPr>
          <w:p w:rsidR="008F756F" w:rsidRPr="004F2A73" w:rsidRDefault="008F756F" w:rsidP="009A1D5E">
            <w:pPr>
              <w:rPr>
                <w:i/>
                <w:iCs/>
                <w:color w:val="000000"/>
                <w:sz w:val="22"/>
                <w:szCs w:val="22"/>
              </w:rPr>
            </w:pPr>
            <w:r w:rsidRPr="004F2A73">
              <w:rPr>
                <w:i/>
                <w:iCs/>
                <w:color w:val="000000"/>
                <w:sz w:val="22"/>
                <w:szCs w:val="22"/>
              </w:rPr>
              <w:t>F = .59, R</w:t>
            </w:r>
            <w:r w:rsidRPr="004F2A73">
              <w:rPr>
                <w:i/>
                <w:iCs/>
                <w:color w:val="000000"/>
                <w:sz w:val="22"/>
                <w:szCs w:val="22"/>
                <w:vertAlign w:val="superscript"/>
              </w:rPr>
              <w:t>2</w:t>
            </w:r>
            <w:r w:rsidRPr="004F2A73">
              <w:rPr>
                <w:i/>
                <w:iCs/>
                <w:color w:val="000000"/>
                <w:sz w:val="22"/>
                <w:szCs w:val="22"/>
              </w:rPr>
              <w:t xml:space="preserve"> = .02</w:t>
            </w:r>
          </w:p>
        </w:tc>
        <w:tc>
          <w:tcPr>
            <w:tcW w:w="2262"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.6, R</w:t>
            </w:r>
            <w:r w:rsidRPr="004F2A73">
              <w:rPr>
                <w:i/>
                <w:iCs/>
                <w:color w:val="000000"/>
                <w:sz w:val="22"/>
                <w:szCs w:val="22"/>
                <w:vertAlign w:val="superscript"/>
              </w:rPr>
              <w:t>2</w:t>
            </w:r>
            <w:r w:rsidRPr="004F2A73">
              <w:rPr>
                <w:i/>
                <w:iCs/>
                <w:color w:val="000000"/>
                <w:sz w:val="22"/>
                <w:szCs w:val="22"/>
              </w:rPr>
              <w:t xml:space="preserve"> = .02</w:t>
            </w:r>
          </w:p>
        </w:tc>
        <w:tc>
          <w:tcPr>
            <w:tcW w:w="2004"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.73, R</w:t>
            </w:r>
            <w:r w:rsidRPr="004F2A73">
              <w:rPr>
                <w:i/>
                <w:iCs/>
                <w:color w:val="000000"/>
                <w:sz w:val="22"/>
                <w:szCs w:val="22"/>
                <w:vertAlign w:val="superscript"/>
              </w:rPr>
              <w:t>2</w:t>
            </w:r>
            <w:r w:rsidRPr="004F2A73">
              <w:rPr>
                <w:i/>
                <w:iCs/>
                <w:color w:val="000000"/>
                <w:sz w:val="22"/>
                <w:szCs w:val="22"/>
              </w:rPr>
              <w:t xml:space="preserve"> = .02</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Age</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.12</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.19</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.12</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.15</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Education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.13</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.00</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.17</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.10</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Pr>
                <w:color w:val="000000"/>
                <w:sz w:val="22"/>
                <w:szCs w:val="22"/>
              </w:rPr>
              <w:t>Lang Acculturation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-.05</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-.07</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-.04</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-.04</w:t>
            </w:r>
          </w:p>
        </w:tc>
      </w:tr>
      <w:tr w:rsidR="008F756F" w:rsidRPr="004F2A73" w:rsidTr="00600617">
        <w:trPr>
          <w:trHeight w:val="234"/>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Self-Efficacy (Exercise or Nutrition)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.18</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.24</w:t>
            </w:r>
            <w:r>
              <w:rPr>
                <w:color w:val="000000"/>
                <w:sz w:val="22"/>
                <w:szCs w:val="22"/>
              </w:rPr>
              <w:t>†</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.41**</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.32*</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Pr>
                <w:color w:val="000000"/>
                <w:sz w:val="22"/>
                <w:szCs w:val="22"/>
              </w:rPr>
              <w:t>Health Literacy</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-.01</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-.06</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-.32*</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-.02</w:t>
            </w:r>
          </w:p>
        </w:tc>
      </w:tr>
      <w:tr w:rsidR="008F756F" w:rsidRPr="004F2A73" w:rsidTr="00600617">
        <w:trPr>
          <w:trHeight w:val="326"/>
        </w:trPr>
        <w:tc>
          <w:tcPr>
            <w:tcW w:w="3600" w:type="dxa"/>
            <w:tcBorders>
              <w:top w:val="nil"/>
              <w:left w:val="nil"/>
              <w:bottom w:val="single" w:sz="4" w:space="0" w:color="auto"/>
              <w:right w:val="nil"/>
            </w:tcBorders>
            <w:shd w:val="clear" w:color="auto" w:fill="auto"/>
            <w:hideMark/>
          </w:tcPr>
          <w:p w:rsidR="008F756F" w:rsidRPr="004F2A73" w:rsidRDefault="008F756F" w:rsidP="009A1D5E">
            <w:pPr>
              <w:rPr>
                <w:i/>
                <w:iCs/>
                <w:color w:val="000000"/>
                <w:sz w:val="22"/>
                <w:szCs w:val="22"/>
              </w:rPr>
            </w:pPr>
            <w:r w:rsidRPr="004F2A73">
              <w:rPr>
                <w:i/>
                <w:iCs/>
                <w:color w:val="000000"/>
                <w:sz w:val="22"/>
                <w:szCs w:val="22"/>
              </w:rPr>
              <w:t>R Squared, F</w:t>
            </w:r>
          </w:p>
        </w:tc>
        <w:tc>
          <w:tcPr>
            <w:tcW w:w="2064"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1.18, R</w:t>
            </w:r>
            <w:r w:rsidRPr="004F2A73">
              <w:rPr>
                <w:i/>
                <w:iCs/>
                <w:color w:val="000000"/>
                <w:sz w:val="22"/>
                <w:szCs w:val="22"/>
                <w:vertAlign w:val="superscript"/>
              </w:rPr>
              <w:t>2</w:t>
            </w:r>
            <w:r w:rsidRPr="004F2A73">
              <w:rPr>
                <w:i/>
                <w:iCs/>
                <w:color w:val="000000"/>
                <w:sz w:val="22"/>
                <w:szCs w:val="22"/>
              </w:rPr>
              <w:t xml:space="preserve"> = .05</w:t>
            </w:r>
          </w:p>
        </w:tc>
        <w:tc>
          <w:tcPr>
            <w:tcW w:w="2064" w:type="dxa"/>
            <w:tcBorders>
              <w:top w:val="nil"/>
              <w:left w:val="nil"/>
              <w:bottom w:val="single" w:sz="4" w:space="0" w:color="auto"/>
              <w:right w:val="nil"/>
            </w:tcBorders>
            <w:shd w:val="clear" w:color="auto" w:fill="auto"/>
            <w:noWrap/>
            <w:hideMark/>
          </w:tcPr>
          <w:p w:rsidR="008F756F" w:rsidRPr="004F2A73" w:rsidRDefault="008F756F" w:rsidP="009A1D5E">
            <w:pPr>
              <w:rPr>
                <w:i/>
                <w:iCs/>
                <w:color w:val="000000"/>
                <w:sz w:val="22"/>
                <w:szCs w:val="22"/>
              </w:rPr>
            </w:pPr>
            <w:r w:rsidRPr="004F2A73">
              <w:rPr>
                <w:i/>
                <w:iCs/>
                <w:color w:val="000000"/>
                <w:sz w:val="22"/>
                <w:szCs w:val="22"/>
              </w:rPr>
              <w:t>F = 1.99, R</w:t>
            </w:r>
            <w:r w:rsidRPr="004F2A73">
              <w:rPr>
                <w:i/>
                <w:iCs/>
                <w:color w:val="000000"/>
                <w:sz w:val="22"/>
                <w:szCs w:val="22"/>
                <w:vertAlign w:val="superscript"/>
              </w:rPr>
              <w:t>2</w:t>
            </w:r>
            <w:r w:rsidRPr="004F2A73">
              <w:rPr>
                <w:i/>
                <w:iCs/>
                <w:color w:val="000000"/>
                <w:sz w:val="22"/>
                <w:szCs w:val="22"/>
              </w:rPr>
              <w:t xml:space="preserve"> = .06</w:t>
            </w:r>
          </w:p>
        </w:tc>
        <w:tc>
          <w:tcPr>
            <w:tcW w:w="2262"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9.15***, R</w:t>
            </w:r>
            <w:r w:rsidRPr="004F2A73">
              <w:rPr>
                <w:i/>
                <w:iCs/>
                <w:color w:val="000000"/>
                <w:sz w:val="22"/>
                <w:szCs w:val="22"/>
                <w:vertAlign w:val="superscript"/>
              </w:rPr>
              <w:t>2</w:t>
            </w:r>
            <w:r w:rsidRPr="004F2A73">
              <w:rPr>
                <w:i/>
                <w:iCs/>
                <w:color w:val="000000"/>
                <w:sz w:val="22"/>
                <w:szCs w:val="22"/>
              </w:rPr>
              <w:t xml:space="preserve"> = .18</w:t>
            </w:r>
          </w:p>
        </w:tc>
        <w:tc>
          <w:tcPr>
            <w:tcW w:w="2004"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2.33, R</w:t>
            </w:r>
            <w:r w:rsidRPr="004F2A73">
              <w:rPr>
                <w:i/>
                <w:iCs/>
                <w:color w:val="000000"/>
                <w:sz w:val="22"/>
                <w:szCs w:val="22"/>
                <w:vertAlign w:val="superscript"/>
              </w:rPr>
              <w:t>2</w:t>
            </w:r>
            <w:r w:rsidRPr="004F2A73">
              <w:rPr>
                <w:i/>
                <w:iCs/>
                <w:color w:val="000000"/>
                <w:sz w:val="22"/>
                <w:szCs w:val="22"/>
              </w:rPr>
              <w:t xml:space="preserve"> = .07</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Age</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.11</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.19</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.05</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.12</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Education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.12</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-.01</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.24</w:t>
            </w:r>
            <w:r>
              <w:rPr>
                <w:color w:val="000000"/>
                <w:sz w:val="22"/>
                <w:szCs w:val="22"/>
              </w:rPr>
              <w:t>†</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.13</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Pr>
                <w:color w:val="000000"/>
                <w:sz w:val="22"/>
                <w:szCs w:val="22"/>
              </w:rPr>
              <w:t>Lang Acculturation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-.04</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-.05</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-.12</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-.07</w:t>
            </w:r>
          </w:p>
        </w:tc>
      </w:tr>
      <w:tr w:rsidR="008F756F" w:rsidRPr="004F2A73" w:rsidTr="00600617">
        <w:trPr>
          <w:trHeight w:val="252"/>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sidRPr="004F2A73">
              <w:rPr>
                <w:color w:val="000000"/>
                <w:sz w:val="22"/>
                <w:szCs w:val="22"/>
              </w:rPr>
              <w:t>Self-Efficacy (Exercise or Nutrition)</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.20</w:t>
            </w:r>
            <w:r>
              <w:rPr>
                <w:color w:val="000000"/>
                <w:sz w:val="22"/>
                <w:szCs w:val="22"/>
              </w:rPr>
              <w:t>†</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.25*</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.45***</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.34*</w:t>
            </w:r>
          </w:p>
        </w:tc>
      </w:tr>
      <w:tr w:rsidR="008F756F" w:rsidRPr="004F2A73" w:rsidTr="00600617">
        <w:trPr>
          <w:trHeight w:val="283"/>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Pr>
                <w:color w:val="000000"/>
                <w:sz w:val="22"/>
                <w:szCs w:val="22"/>
              </w:rPr>
              <w:t>Health Literacy</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.03</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-.03</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-.30*</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-.01</w:t>
            </w:r>
          </w:p>
        </w:tc>
      </w:tr>
      <w:tr w:rsidR="008F756F" w:rsidRPr="004F2A73" w:rsidTr="00600617">
        <w:trPr>
          <w:trHeight w:val="324"/>
        </w:trPr>
        <w:tc>
          <w:tcPr>
            <w:tcW w:w="3600" w:type="dxa"/>
            <w:tcBorders>
              <w:top w:val="nil"/>
              <w:left w:val="nil"/>
              <w:bottom w:val="nil"/>
              <w:right w:val="nil"/>
            </w:tcBorders>
            <w:shd w:val="clear" w:color="auto" w:fill="auto"/>
            <w:hideMark/>
          </w:tcPr>
          <w:p w:rsidR="008F756F" w:rsidRPr="004F2A73" w:rsidRDefault="008F756F" w:rsidP="009A1D5E">
            <w:pPr>
              <w:rPr>
                <w:color w:val="000000"/>
                <w:sz w:val="22"/>
                <w:szCs w:val="22"/>
              </w:rPr>
            </w:pPr>
            <w:r>
              <w:rPr>
                <w:color w:val="000000"/>
                <w:sz w:val="22"/>
                <w:szCs w:val="22"/>
              </w:rPr>
              <w:t>Health Literacy</w:t>
            </w:r>
            <w:r w:rsidRPr="004F2A73">
              <w:rPr>
                <w:color w:val="000000"/>
                <w:sz w:val="22"/>
                <w:szCs w:val="22"/>
              </w:rPr>
              <w:t xml:space="preserve"> x Self-Efficacy</w:t>
            </w:r>
          </w:p>
        </w:tc>
        <w:tc>
          <w:tcPr>
            <w:tcW w:w="206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.25*</w:t>
            </w:r>
          </w:p>
        </w:tc>
        <w:tc>
          <w:tcPr>
            <w:tcW w:w="2064" w:type="dxa"/>
            <w:tcBorders>
              <w:top w:val="nil"/>
              <w:left w:val="nil"/>
              <w:bottom w:val="nil"/>
              <w:right w:val="nil"/>
            </w:tcBorders>
            <w:shd w:val="clear" w:color="auto" w:fill="auto"/>
            <w:noWrap/>
            <w:hideMark/>
          </w:tcPr>
          <w:p w:rsidR="008F756F" w:rsidRPr="004F2A73" w:rsidRDefault="008F756F" w:rsidP="009A1D5E">
            <w:pPr>
              <w:jc w:val="center"/>
              <w:rPr>
                <w:color w:val="000000"/>
                <w:sz w:val="22"/>
                <w:szCs w:val="22"/>
              </w:rPr>
            </w:pPr>
            <w:r w:rsidRPr="004F2A73">
              <w:rPr>
                <w:color w:val="000000"/>
                <w:sz w:val="22"/>
                <w:szCs w:val="22"/>
              </w:rPr>
              <w:t>.21</w:t>
            </w:r>
            <w:r>
              <w:rPr>
                <w:color w:val="000000"/>
                <w:sz w:val="22"/>
                <w:szCs w:val="22"/>
              </w:rPr>
              <w:t>†</w:t>
            </w:r>
          </w:p>
        </w:tc>
        <w:tc>
          <w:tcPr>
            <w:tcW w:w="2262"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.28*</w:t>
            </w:r>
          </w:p>
        </w:tc>
        <w:tc>
          <w:tcPr>
            <w:tcW w:w="2004" w:type="dxa"/>
            <w:tcBorders>
              <w:top w:val="nil"/>
              <w:left w:val="nil"/>
              <w:bottom w:val="nil"/>
              <w:right w:val="nil"/>
            </w:tcBorders>
          </w:tcPr>
          <w:p w:rsidR="008F756F" w:rsidRPr="004F2A73" w:rsidRDefault="008F756F" w:rsidP="009A1D5E">
            <w:pPr>
              <w:jc w:val="center"/>
              <w:rPr>
                <w:color w:val="000000"/>
                <w:sz w:val="22"/>
                <w:szCs w:val="22"/>
              </w:rPr>
            </w:pPr>
            <w:r w:rsidRPr="004F2A73">
              <w:rPr>
                <w:color w:val="000000"/>
                <w:sz w:val="22"/>
                <w:szCs w:val="22"/>
              </w:rPr>
              <w:t>.13</w:t>
            </w:r>
          </w:p>
        </w:tc>
      </w:tr>
      <w:tr w:rsidR="008F756F" w:rsidRPr="004F2A73" w:rsidTr="00600617">
        <w:trPr>
          <w:trHeight w:val="326"/>
        </w:trPr>
        <w:tc>
          <w:tcPr>
            <w:tcW w:w="3600" w:type="dxa"/>
            <w:tcBorders>
              <w:top w:val="nil"/>
              <w:left w:val="nil"/>
              <w:bottom w:val="single" w:sz="4" w:space="0" w:color="auto"/>
              <w:right w:val="nil"/>
            </w:tcBorders>
            <w:shd w:val="clear" w:color="auto" w:fill="auto"/>
            <w:hideMark/>
          </w:tcPr>
          <w:p w:rsidR="008F756F" w:rsidRPr="004F2A73" w:rsidRDefault="008F756F" w:rsidP="009A1D5E">
            <w:pPr>
              <w:rPr>
                <w:i/>
                <w:iCs/>
                <w:color w:val="000000"/>
                <w:sz w:val="22"/>
                <w:szCs w:val="22"/>
              </w:rPr>
            </w:pPr>
            <w:r w:rsidRPr="004F2A73">
              <w:rPr>
                <w:i/>
                <w:iCs/>
                <w:color w:val="000000"/>
                <w:sz w:val="22"/>
                <w:szCs w:val="22"/>
              </w:rPr>
              <w:t>R Squared, F</w:t>
            </w:r>
          </w:p>
        </w:tc>
        <w:tc>
          <w:tcPr>
            <w:tcW w:w="2064"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5.01*, R</w:t>
            </w:r>
            <w:r w:rsidRPr="004F2A73">
              <w:rPr>
                <w:i/>
                <w:iCs/>
                <w:color w:val="000000"/>
                <w:sz w:val="22"/>
                <w:szCs w:val="22"/>
                <w:vertAlign w:val="superscript"/>
              </w:rPr>
              <w:t>2</w:t>
            </w:r>
            <w:r w:rsidRPr="004F2A73">
              <w:rPr>
                <w:i/>
                <w:iCs/>
                <w:color w:val="000000"/>
                <w:sz w:val="22"/>
                <w:szCs w:val="22"/>
              </w:rPr>
              <w:t xml:space="preserve"> = .10</w:t>
            </w:r>
          </w:p>
        </w:tc>
        <w:tc>
          <w:tcPr>
            <w:tcW w:w="2064" w:type="dxa"/>
            <w:tcBorders>
              <w:top w:val="nil"/>
              <w:left w:val="nil"/>
              <w:bottom w:val="single" w:sz="4" w:space="0" w:color="auto"/>
              <w:right w:val="nil"/>
            </w:tcBorders>
            <w:shd w:val="clear" w:color="auto" w:fill="auto"/>
            <w:noWrap/>
            <w:hideMark/>
          </w:tcPr>
          <w:p w:rsidR="008F756F" w:rsidRPr="004F2A73" w:rsidRDefault="008F756F" w:rsidP="009A1D5E">
            <w:pPr>
              <w:rPr>
                <w:i/>
                <w:iCs/>
                <w:color w:val="000000"/>
                <w:sz w:val="22"/>
                <w:szCs w:val="22"/>
              </w:rPr>
            </w:pPr>
            <w:r w:rsidRPr="004F2A73">
              <w:rPr>
                <w:i/>
                <w:iCs/>
                <w:color w:val="000000"/>
                <w:sz w:val="22"/>
                <w:szCs w:val="22"/>
              </w:rPr>
              <w:t>F = 3.39</w:t>
            </w:r>
            <w:r>
              <w:rPr>
                <w:i/>
                <w:iCs/>
                <w:color w:val="000000"/>
                <w:sz w:val="22"/>
                <w:szCs w:val="22"/>
              </w:rPr>
              <w:t>†</w:t>
            </w:r>
            <w:r w:rsidRPr="004F2A73">
              <w:rPr>
                <w:i/>
                <w:iCs/>
                <w:color w:val="000000"/>
                <w:sz w:val="22"/>
                <w:szCs w:val="22"/>
              </w:rPr>
              <w:t>, R</w:t>
            </w:r>
            <w:r w:rsidRPr="004F2A73">
              <w:rPr>
                <w:i/>
                <w:iCs/>
                <w:color w:val="000000"/>
                <w:sz w:val="22"/>
                <w:szCs w:val="22"/>
                <w:vertAlign w:val="superscript"/>
              </w:rPr>
              <w:t>2</w:t>
            </w:r>
            <w:r w:rsidRPr="004F2A73">
              <w:rPr>
                <w:i/>
                <w:iCs/>
                <w:color w:val="000000"/>
                <w:sz w:val="22"/>
                <w:szCs w:val="22"/>
              </w:rPr>
              <w:t xml:space="preserve"> = .09</w:t>
            </w:r>
          </w:p>
        </w:tc>
        <w:tc>
          <w:tcPr>
            <w:tcW w:w="2262"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6.25*, R</w:t>
            </w:r>
            <w:r w:rsidRPr="004F2A73">
              <w:rPr>
                <w:i/>
                <w:iCs/>
                <w:color w:val="000000"/>
                <w:sz w:val="22"/>
                <w:szCs w:val="22"/>
                <w:vertAlign w:val="superscript"/>
              </w:rPr>
              <w:t>2</w:t>
            </w:r>
            <w:r w:rsidRPr="004F2A73">
              <w:rPr>
                <w:i/>
                <w:iCs/>
                <w:color w:val="000000"/>
                <w:sz w:val="22"/>
                <w:szCs w:val="22"/>
              </w:rPr>
              <w:t xml:space="preserve"> = .23</w:t>
            </w:r>
          </w:p>
        </w:tc>
        <w:tc>
          <w:tcPr>
            <w:tcW w:w="2004" w:type="dxa"/>
            <w:tcBorders>
              <w:top w:val="nil"/>
              <w:left w:val="nil"/>
              <w:bottom w:val="single" w:sz="4" w:space="0" w:color="auto"/>
              <w:right w:val="nil"/>
            </w:tcBorders>
          </w:tcPr>
          <w:p w:rsidR="008F756F" w:rsidRPr="004F2A73" w:rsidRDefault="008F756F" w:rsidP="009A1D5E">
            <w:pPr>
              <w:rPr>
                <w:i/>
                <w:iCs/>
                <w:color w:val="000000"/>
                <w:sz w:val="22"/>
                <w:szCs w:val="22"/>
              </w:rPr>
            </w:pPr>
            <w:r w:rsidRPr="004F2A73">
              <w:rPr>
                <w:i/>
                <w:iCs/>
                <w:color w:val="000000"/>
                <w:sz w:val="22"/>
                <w:szCs w:val="22"/>
              </w:rPr>
              <w:t>F = .77, R</w:t>
            </w:r>
            <w:r w:rsidRPr="004F2A73">
              <w:rPr>
                <w:i/>
                <w:iCs/>
                <w:color w:val="000000"/>
                <w:sz w:val="22"/>
                <w:szCs w:val="22"/>
                <w:vertAlign w:val="superscript"/>
              </w:rPr>
              <w:t>2</w:t>
            </w:r>
            <w:r w:rsidRPr="004F2A73">
              <w:rPr>
                <w:i/>
                <w:iCs/>
                <w:color w:val="000000"/>
                <w:sz w:val="22"/>
                <w:szCs w:val="22"/>
              </w:rPr>
              <w:t xml:space="preserve"> = .08</w:t>
            </w:r>
          </w:p>
        </w:tc>
      </w:tr>
    </w:tbl>
    <w:p w:rsidR="008F756F" w:rsidRDefault="008F756F" w:rsidP="005D3AC0">
      <w:pPr>
        <w:spacing w:after="200"/>
      </w:pPr>
      <w:r>
        <w:t xml:space="preserve">Note. Unstandardized regression coefficients are reported. Exercise = Exercise three times a week for at least 20 minutes each time. </w:t>
      </w:r>
      <w:r w:rsidRPr="00A9381B">
        <w:rPr>
          <w:sz w:val="20"/>
          <w:szCs w:val="20"/>
        </w:rPr>
        <w:t>†</w:t>
      </w:r>
      <w:r w:rsidRPr="00A9381B">
        <w:rPr>
          <w:i/>
          <w:sz w:val="20"/>
          <w:szCs w:val="20"/>
        </w:rPr>
        <w:t>p</w:t>
      </w:r>
      <w:r w:rsidRPr="00A9381B">
        <w:rPr>
          <w:sz w:val="20"/>
          <w:szCs w:val="20"/>
        </w:rPr>
        <w:t xml:space="preserve"> &lt; .10  *</w:t>
      </w:r>
      <w:r w:rsidRPr="00A9381B">
        <w:rPr>
          <w:i/>
          <w:sz w:val="20"/>
          <w:szCs w:val="20"/>
        </w:rPr>
        <w:t>p</w:t>
      </w:r>
      <w:r w:rsidRPr="00A9381B">
        <w:rPr>
          <w:sz w:val="20"/>
          <w:szCs w:val="20"/>
        </w:rPr>
        <w:t xml:space="preserve"> &lt; .05  **</w:t>
      </w:r>
      <w:r w:rsidRPr="00A9381B">
        <w:rPr>
          <w:i/>
          <w:sz w:val="20"/>
          <w:szCs w:val="20"/>
        </w:rPr>
        <w:t>p</w:t>
      </w:r>
      <w:r w:rsidRPr="00A9381B">
        <w:rPr>
          <w:sz w:val="20"/>
          <w:szCs w:val="20"/>
        </w:rPr>
        <w:t xml:space="preserve"> &lt; .01  ***</w:t>
      </w:r>
      <w:r w:rsidRPr="00A9381B">
        <w:rPr>
          <w:i/>
          <w:sz w:val="20"/>
          <w:szCs w:val="20"/>
        </w:rPr>
        <w:t>p</w:t>
      </w:r>
      <w:r w:rsidRPr="00A9381B">
        <w:rPr>
          <w:sz w:val="20"/>
          <w:szCs w:val="20"/>
        </w:rPr>
        <w:t xml:space="preserve"> &lt; .001</w:t>
      </w:r>
    </w:p>
    <w:p w:rsidR="008F756F" w:rsidRDefault="008F756F">
      <w:r>
        <w:br w:type="page"/>
      </w:r>
    </w:p>
    <w:p w:rsidR="008F756F" w:rsidRDefault="008F756F" w:rsidP="00E1775A">
      <w:pPr>
        <w:autoSpaceDE w:val="0"/>
        <w:autoSpaceDN w:val="0"/>
        <w:adjustRightInd w:val="0"/>
      </w:pPr>
      <w:r>
        <w:lastRenderedPageBreak/>
        <w:t>Figure I</w:t>
      </w:r>
    </w:p>
    <w:p w:rsidR="008F756F" w:rsidRDefault="008F756F" w:rsidP="00E1775A">
      <w:pPr>
        <w:autoSpaceDE w:val="0"/>
        <w:autoSpaceDN w:val="0"/>
        <w:adjustRightInd w:val="0"/>
      </w:pPr>
      <w:r>
        <w:rPr>
          <w:noProof/>
        </w:rPr>
        <w:drawing>
          <wp:anchor distT="0" distB="0" distL="114300" distR="114300" simplePos="0" relativeHeight="251660288" behindDoc="0" locked="0" layoutInCell="1" allowOverlap="1" wp14:anchorId="0C051ECA" wp14:editId="59DED2D7">
            <wp:simplePos x="0" y="0"/>
            <wp:positionH relativeFrom="column">
              <wp:posOffset>3990975</wp:posOffset>
            </wp:positionH>
            <wp:positionV relativeFrom="paragraph">
              <wp:posOffset>23495</wp:posOffset>
            </wp:positionV>
            <wp:extent cx="3282950" cy="26269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2950" cy="26269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763BF65" wp14:editId="1A7A06CF">
            <wp:simplePos x="0" y="0"/>
            <wp:positionH relativeFrom="column">
              <wp:posOffset>443230</wp:posOffset>
            </wp:positionH>
            <wp:positionV relativeFrom="paragraph">
              <wp:posOffset>92710</wp:posOffset>
            </wp:positionV>
            <wp:extent cx="3248660" cy="259969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660" cy="2599690"/>
                    </a:xfrm>
                    <a:prstGeom prst="rect">
                      <a:avLst/>
                    </a:prstGeom>
                    <a:noFill/>
                    <a:ln>
                      <a:noFill/>
                    </a:ln>
                  </pic:spPr>
                </pic:pic>
              </a:graphicData>
            </a:graphic>
          </wp:anchor>
        </w:drawing>
      </w:r>
    </w:p>
    <w:p w:rsidR="008F756F" w:rsidRDefault="008F756F" w:rsidP="00E1775A">
      <w:pPr>
        <w:autoSpaceDE w:val="0"/>
        <w:autoSpaceDN w:val="0"/>
        <w:adjustRightInd w:val="0"/>
        <w:spacing w:line="400" w:lineRule="atLeast"/>
      </w:pPr>
    </w:p>
    <w:p w:rsidR="008F756F" w:rsidRDefault="008F756F" w:rsidP="00E1775A">
      <w:pPr>
        <w:autoSpaceDE w:val="0"/>
        <w:autoSpaceDN w:val="0"/>
        <w:adjustRightInd w:val="0"/>
      </w:pPr>
    </w:p>
    <w:p w:rsidR="008F756F" w:rsidRDefault="008F756F" w:rsidP="00E1775A">
      <w:pPr>
        <w:autoSpaceDE w:val="0"/>
        <w:autoSpaceDN w:val="0"/>
        <w:adjustRightInd w:val="0"/>
      </w:pPr>
    </w:p>
    <w:p w:rsidR="008F756F" w:rsidRDefault="008F756F" w:rsidP="00E1775A">
      <w:pPr>
        <w:autoSpaceDE w:val="0"/>
        <w:autoSpaceDN w:val="0"/>
        <w:adjustRightInd w:val="0"/>
        <w:spacing w:line="400" w:lineRule="atLeast"/>
      </w:pPr>
    </w:p>
    <w:p w:rsidR="008F756F" w:rsidRDefault="008F756F" w:rsidP="00A83F23">
      <w:pPr>
        <w:autoSpaceDE w:val="0"/>
        <w:autoSpaceDN w:val="0"/>
        <w:adjustRightInd w:val="0"/>
      </w:pPr>
    </w:p>
    <w:p w:rsidR="008F756F" w:rsidRDefault="008F756F" w:rsidP="008F00EF">
      <w:pPr>
        <w:spacing w:after="200"/>
      </w:pPr>
      <w:r>
        <w:rPr>
          <w:noProof/>
        </w:rPr>
        <w:drawing>
          <wp:anchor distT="0" distB="0" distL="114300" distR="114300" simplePos="0" relativeHeight="251661312" behindDoc="0" locked="0" layoutInCell="1" allowOverlap="1" wp14:anchorId="064D501F" wp14:editId="2942B8A6">
            <wp:simplePos x="0" y="0"/>
            <wp:positionH relativeFrom="column">
              <wp:posOffset>2183130</wp:posOffset>
            </wp:positionH>
            <wp:positionV relativeFrom="paragraph">
              <wp:posOffset>1551305</wp:posOffset>
            </wp:positionV>
            <wp:extent cx="3300095" cy="26403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0095" cy="2640330"/>
                    </a:xfrm>
                    <a:prstGeom prst="rect">
                      <a:avLst/>
                    </a:prstGeom>
                    <a:noFill/>
                    <a:ln>
                      <a:noFill/>
                    </a:ln>
                  </pic:spPr>
                </pic:pic>
              </a:graphicData>
            </a:graphic>
          </wp:anchor>
        </w:drawing>
      </w:r>
    </w:p>
    <w:p w:rsidR="0050456A" w:rsidRDefault="0050456A"/>
    <w:sectPr w:rsidR="0050456A" w:rsidSect="00F94E89">
      <w:pgSz w:w="15840" w:h="12240" w:orient="landscape"/>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97" w:rsidRDefault="00DB6B97">
      <w:r>
        <w:separator/>
      </w:r>
    </w:p>
  </w:endnote>
  <w:endnote w:type="continuationSeparator" w:id="0">
    <w:p w:rsidR="00DB6B97" w:rsidRDefault="00DB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97" w:rsidRDefault="00DB6B97">
      <w:r>
        <w:separator/>
      </w:r>
    </w:p>
  </w:footnote>
  <w:footnote w:type="continuationSeparator" w:id="0">
    <w:p w:rsidR="00DB6B97" w:rsidRDefault="00DB6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5E" w:rsidRDefault="00631F72" w:rsidP="00FD23F6">
    <w:pPr>
      <w:pStyle w:val="Header"/>
      <w:jc w:val="both"/>
    </w:pPr>
    <w:r>
      <w:t>Self-Efficacy and Preventative Health Behaviors</w:t>
    </w:r>
    <w:r>
      <w:tab/>
      <w:t xml:space="preserve"> </w:t>
    </w:r>
    <w:r>
      <w:tab/>
      <w:t xml:space="preserve">             </w:t>
    </w:r>
    <w:r>
      <w:fldChar w:fldCharType="begin"/>
    </w:r>
    <w:r>
      <w:instrText xml:space="preserve"> PAGE   \* MERGEFORMAT </w:instrText>
    </w:r>
    <w:r>
      <w:fldChar w:fldCharType="separate"/>
    </w:r>
    <w:r w:rsidR="00F36219">
      <w:rPr>
        <w:noProof/>
      </w:rPr>
      <w:t>6</w:t>
    </w:r>
    <w:r>
      <w:rPr>
        <w:noProof/>
      </w:rPr>
      <w:fldChar w:fldCharType="end"/>
    </w:r>
  </w:p>
  <w:p w:rsidR="009A1D5E" w:rsidRDefault="00DB6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5E" w:rsidRDefault="00631F72" w:rsidP="00E86689">
    <w:r>
      <w:t>Running head: SELF-EFFICACY AND BEHAVIORAL CAPABILITY</w:t>
    </w:r>
    <w:r>
      <w:tab/>
    </w:r>
    <w:r>
      <w:tab/>
      <w:t xml:space="preserve">          </w:t>
    </w:r>
    <w:r>
      <w:tab/>
      <w:t xml:space="preserve">          1</w:t>
    </w:r>
  </w:p>
  <w:p w:rsidR="009A1D5E" w:rsidRDefault="00DB6B97">
    <w:pPr>
      <w:pStyle w:val="Header"/>
    </w:pPr>
  </w:p>
  <w:p w:rsidR="009A1D5E" w:rsidRDefault="00DB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980"/>
    <w:multiLevelType w:val="hybridMultilevel"/>
    <w:tmpl w:val="D788FE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4A13E4"/>
    <w:multiLevelType w:val="hybridMultilevel"/>
    <w:tmpl w:val="90EA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92D94"/>
    <w:multiLevelType w:val="hybridMultilevel"/>
    <w:tmpl w:val="69BE09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3952AB"/>
    <w:multiLevelType w:val="hybridMultilevel"/>
    <w:tmpl w:val="34F6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B697C"/>
    <w:multiLevelType w:val="hybridMultilevel"/>
    <w:tmpl w:val="13BC5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105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69C03A5"/>
    <w:multiLevelType w:val="hybridMultilevel"/>
    <w:tmpl w:val="5BF651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A070895"/>
    <w:multiLevelType w:val="hybridMultilevel"/>
    <w:tmpl w:val="DA4C4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756F"/>
    <w:rsid w:val="00006882"/>
    <w:rsid w:val="000642FB"/>
    <w:rsid w:val="000773F1"/>
    <w:rsid w:val="00077B61"/>
    <w:rsid w:val="000A4645"/>
    <w:rsid w:val="000B20DF"/>
    <w:rsid w:val="000E75FD"/>
    <w:rsid w:val="00100EE6"/>
    <w:rsid w:val="00112399"/>
    <w:rsid w:val="00121A1D"/>
    <w:rsid w:val="001758BA"/>
    <w:rsid w:val="001A0613"/>
    <w:rsid w:val="001A0678"/>
    <w:rsid w:val="001C4A29"/>
    <w:rsid w:val="001D56A0"/>
    <w:rsid w:val="001E252A"/>
    <w:rsid w:val="001E5CD6"/>
    <w:rsid w:val="00200E5C"/>
    <w:rsid w:val="00223A25"/>
    <w:rsid w:val="00231599"/>
    <w:rsid w:val="00244093"/>
    <w:rsid w:val="00245674"/>
    <w:rsid w:val="00271EE1"/>
    <w:rsid w:val="002844F7"/>
    <w:rsid w:val="0029540D"/>
    <w:rsid w:val="002A0761"/>
    <w:rsid w:val="002B029A"/>
    <w:rsid w:val="002B65B5"/>
    <w:rsid w:val="002C4298"/>
    <w:rsid w:val="002D5473"/>
    <w:rsid w:val="002F409F"/>
    <w:rsid w:val="0034788A"/>
    <w:rsid w:val="00363201"/>
    <w:rsid w:val="00370D22"/>
    <w:rsid w:val="00390A80"/>
    <w:rsid w:val="00397E2C"/>
    <w:rsid w:val="003A0A4E"/>
    <w:rsid w:val="003A48E5"/>
    <w:rsid w:val="003B1D95"/>
    <w:rsid w:val="003C5B2E"/>
    <w:rsid w:val="003E567A"/>
    <w:rsid w:val="003F1BC9"/>
    <w:rsid w:val="00403BE7"/>
    <w:rsid w:val="00430268"/>
    <w:rsid w:val="00434A92"/>
    <w:rsid w:val="00454149"/>
    <w:rsid w:val="0047058B"/>
    <w:rsid w:val="004C0BFD"/>
    <w:rsid w:val="004D4524"/>
    <w:rsid w:val="004D4D01"/>
    <w:rsid w:val="004E7308"/>
    <w:rsid w:val="004F06D3"/>
    <w:rsid w:val="004F23D8"/>
    <w:rsid w:val="0050456A"/>
    <w:rsid w:val="0050602C"/>
    <w:rsid w:val="00520676"/>
    <w:rsid w:val="00554586"/>
    <w:rsid w:val="005746E8"/>
    <w:rsid w:val="00576C85"/>
    <w:rsid w:val="005B62B0"/>
    <w:rsid w:val="005E7406"/>
    <w:rsid w:val="006251A5"/>
    <w:rsid w:val="00631F72"/>
    <w:rsid w:val="00633ABD"/>
    <w:rsid w:val="0065105F"/>
    <w:rsid w:val="00682425"/>
    <w:rsid w:val="00683638"/>
    <w:rsid w:val="00684597"/>
    <w:rsid w:val="006A2CEB"/>
    <w:rsid w:val="006A3BA3"/>
    <w:rsid w:val="006D0259"/>
    <w:rsid w:val="006F4B3E"/>
    <w:rsid w:val="00700FD7"/>
    <w:rsid w:val="007017C0"/>
    <w:rsid w:val="00753779"/>
    <w:rsid w:val="00754B6A"/>
    <w:rsid w:val="00774AE5"/>
    <w:rsid w:val="00775735"/>
    <w:rsid w:val="0077650A"/>
    <w:rsid w:val="007901CC"/>
    <w:rsid w:val="007C0BEA"/>
    <w:rsid w:val="007E39A8"/>
    <w:rsid w:val="007E55A3"/>
    <w:rsid w:val="007F2AC1"/>
    <w:rsid w:val="00805BA4"/>
    <w:rsid w:val="008214AF"/>
    <w:rsid w:val="008509B9"/>
    <w:rsid w:val="00876705"/>
    <w:rsid w:val="00882BFF"/>
    <w:rsid w:val="00894920"/>
    <w:rsid w:val="008B2EDB"/>
    <w:rsid w:val="008D7383"/>
    <w:rsid w:val="008E37E6"/>
    <w:rsid w:val="008F756F"/>
    <w:rsid w:val="00920B9D"/>
    <w:rsid w:val="00925A36"/>
    <w:rsid w:val="009307B3"/>
    <w:rsid w:val="00934D7C"/>
    <w:rsid w:val="00936C2B"/>
    <w:rsid w:val="00947DC0"/>
    <w:rsid w:val="0097132D"/>
    <w:rsid w:val="0097363D"/>
    <w:rsid w:val="009901CE"/>
    <w:rsid w:val="00996352"/>
    <w:rsid w:val="009A61D1"/>
    <w:rsid w:val="009E1DD1"/>
    <w:rsid w:val="00A12B40"/>
    <w:rsid w:val="00A3001B"/>
    <w:rsid w:val="00A4044C"/>
    <w:rsid w:val="00A51B4A"/>
    <w:rsid w:val="00A73A09"/>
    <w:rsid w:val="00A85FA1"/>
    <w:rsid w:val="00AC1152"/>
    <w:rsid w:val="00B25E59"/>
    <w:rsid w:val="00B26778"/>
    <w:rsid w:val="00B36FF4"/>
    <w:rsid w:val="00B40415"/>
    <w:rsid w:val="00B4239E"/>
    <w:rsid w:val="00B47519"/>
    <w:rsid w:val="00B640AA"/>
    <w:rsid w:val="00B65463"/>
    <w:rsid w:val="00B65FED"/>
    <w:rsid w:val="00B71D90"/>
    <w:rsid w:val="00B76295"/>
    <w:rsid w:val="00B82A3C"/>
    <w:rsid w:val="00BA3450"/>
    <w:rsid w:val="00BB7659"/>
    <w:rsid w:val="00BC4CC2"/>
    <w:rsid w:val="00BE20F7"/>
    <w:rsid w:val="00BE6D5E"/>
    <w:rsid w:val="00C14181"/>
    <w:rsid w:val="00C168A7"/>
    <w:rsid w:val="00C21AE4"/>
    <w:rsid w:val="00C31B96"/>
    <w:rsid w:val="00C43E73"/>
    <w:rsid w:val="00C72330"/>
    <w:rsid w:val="00C7592D"/>
    <w:rsid w:val="00CA28E7"/>
    <w:rsid w:val="00CB4BDF"/>
    <w:rsid w:val="00D017D5"/>
    <w:rsid w:val="00D0727A"/>
    <w:rsid w:val="00D14803"/>
    <w:rsid w:val="00D25A4B"/>
    <w:rsid w:val="00D40497"/>
    <w:rsid w:val="00D40AA3"/>
    <w:rsid w:val="00D564F2"/>
    <w:rsid w:val="00D6373A"/>
    <w:rsid w:val="00D64AB9"/>
    <w:rsid w:val="00D85BC2"/>
    <w:rsid w:val="00D92369"/>
    <w:rsid w:val="00D92393"/>
    <w:rsid w:val="00D9284C"/>
    <w:rsid w:val="00D94220"/>
    <w:rsid w:val="00D96E4A"/>
    <w:rsid w:val="00DA1D86"/>
    <w:rsid w:val="00DB6B97"/>
    <w:rsid w:val="00DD6AFD"/>
    <w:rsid w:val="00DE79DC"/>
    <w:rsid w:val="00E10515"/>
    <w:rsid w:val="00E21E3F"/>
    <w:rsid w:val="00E26361"/>
    <w:rsid w:val="00E37FF7"/>
    <w:rsid w:val="00E434C3"/>
    <w:rsid w:val="00E47578"/>
    <w:rsid w:val="00E5673D"/>
    <w:rsid w:val="00E63DB1"/>
    <w:rsid w:val="00E71AAB"/>
    <w:rsid w:val="00E73B43"/>
    <w:rsid w:val="00E80B48"/>
    <w:rsid w:val="00E82310"/>
    <w:rsid w:val="00EA50AF"/>
    <w:rsid w:val="00EC3B22"/>
    <w:rsid w:val="00EC5637"/>
    <w:rsid w:val="00EE028D"/>
    <w:rsid w:val="00EE3016"/>
    <w:rsid w:val="00EF03A6"/>
    <w:rsid w:val="00EF70D5"/>
    <w:rsid w:val="00F101F9"/>
    <w:rsid w:val="00F3318D"/>
    <w:rsid w:val="00F348E2"/>
    <w:rsid w:val="00F36219"/>
    <w:rsid w:val="00F462EE"/>
    <w:rsid w:val="00F61DA8"/>
    <w:rsid w:val="00F62AB1"/>
    <w:rsid w:val="00F67014"/>
    <w:rsid w:val="00FA2E55"/>
    <w:rsid w:val="00FA5F97"/>
    <w:rsid w:val="00FB11B9"/>
    <w:rsid w:val="00FD1AF0"/>
    <w:rsid w:val="00FD3733"/>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018D6"/>
  <w15:chartTrackingRefBased/>
  <w15:docId w15:val="{E579DAEC-DDBF-4FDE-82F1-B8BE6730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F75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4D7C"/>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934D7C"/>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D7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934D7C"/>
    <w:rPr>
      <w:rFonts w:ascii="Times New Roman" w:hAnsi="Times New Roman"/>
      <w:b/>
      <w:sz w:val="24"/>
    </w:rPr>
  </w:style>
  <w:style w:type="paragraph" w:styleId="Title">
    <w:name w:val="Title"/>
    <w:basedOn w:val="Normal"/>
    <w:next w:val="Normal"/>
    <w:link w:val="TitleChar"/>
    <w:uiPriority w:val="10"/>
    <w:qFormat/>
    <w:rsid w:val="00934D7C"/>
    <w:pPr>
      <w:contextualSpacing/>
    </w:pPr>
    <w:rPr>
      <w:rFonts w:asciiTheme="majorHAnsi" w:eastAsiaTheme="majorEastAsia" w:hAnsiTheme="majorHAnsi" w:cstheme="majorBidi"/>
      <w:spacing w:val="-10"/>
      <w:kern w:val="28"/>
      <w:sz w:val="48"/>
      <w:szCs w:val="56"/>
      <w:u w:val="single"/>
    </w:rPr>
  </w:style>
  <w:style w:type="character" w:customStyle="1" w:styleId="TitleChar">
    <w:name w:val="Title Char"/>
    <w:basedOn w:val="DefaultParagraphFont"/>
    <w:link w:val="Title"/>
    <w:uiPriority w:val="10"/>
    <w:rsid w:val="00934D7C"/>
    <w:rPr>
      <w:rFonts w:asciiTheme="majorHAnsi" w:eastAsiaTheme="majorEastAsia" w:hAnsiTheme="majorHAnsi" w:cstheme="majorBidi"/>
      <w:spacing w:val="-10"/>
      <w:kern w:val="28"/>
      <w:sz w:val="48"/>
      <w:szCs w:val="56"/>
      <w:u w:val="single"/>
    </w:rPr>
  </w:style>
  <w:style w:type="paragraph" w:styleId="NoSpacing">
    <w:name w:val="No Spacing"/>
    <w:link w:val="NoSpacingChar"/>
    <w:uiPriority w:val="99"/>
    <w:qFormat/>
    <w:rsid w:val="008F756F"/>
    <w:pPr>
      <w:spacing w:after="0" w:line="240" w:lineRule="auto"/>
    </w:pPr>
    <w:rPr>
      <w:rFonts w:ascii="Calibri" w:eastAsia="Times New Roman" w:hAnsi="Calibri" w:cs="Times New Roman"/>
    </w:rPr>
  </w:style>
  <w:style w:type="paragraph" w:styleId="Header">
    <w:name w:val="header"/>
    <w:basedOn w:val="Normal"/>
    <w:link w:val="HeaderChar"/>
    <w:uiPriority w:val="99"/>
    <w:rsid w:val="008F756F"/>
    <w:pPr>
      <w:tabs>
        <w:tab w:val="center" w:pos="4680"/>
        <w:tab w:val="right" w:pos="9360"/>
      </w:tabs>
    </w:pPr>
  </w:style>
  <w:style w:type="character" w:customStyle="1" w:styleId="HeaderChar">
    <w:name w:val="Header Char"/>
    <w:basedOn w:val="DefaultParagraphFont"/>
    <w:link w:val="Header"/>
    <w:uiPriority w:val="99"/>
    <w:rsid w:val="008F756F"/>
    <w:rPr>
      <w:rFonts w:ascii="Times New Roman" w:eastAsia="Times New Roman" w:hAnsi="Times New Roman" w:cs="Times New Roman"/>
      <w:sz w:val="24"/>
      <w:szCs w:val="24"/>
    </w:rPr>
  </w:style>
  <w:style w:type="paragraph" w:styleId="Footer">
    <w:name w:val="footer"/>
    <w:basedOn w:val="Normal"/>
    <w:link w:val="FooterChar"/>
    <w:uiPriority w:val="99"/>
    <w:semiHidden/>
    <w:rsid w:val="008F756F"/>
    <w:pPr>
      <w:tabs>
        <w:tab w:val="center" w:pos="4680"/>
        <w:tab w:val="right" w:pos="9360"/>
      </w:tabs>
    </w:pPr>
  </w:style>
  <w:style w:type="character" w:customStyle="1" w:styleId="FooterChar">
    <w:name w:val="Footer Char"/>
    <w:basedOn w:val="DefaultParagraphFont"/>
    <w:link w:val="Footer"/>
    <w:uiPriority w:val="99"/>
    <w:semiHidden/>
    <w:rsid w:val="008F75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8F756F"/>
    <w:rPr>
      <w:rFonts w:ascii="Tahoma" w:hAnsi="Tahoma" w:cs="Tahoma"/>
      <w:sz w:val="16"/>
      <w:szCs w:val="16"/>
    </w:rPr>
  </w:style>
  <w:style w:type="character" w:customStyle="1" w:styleId="BalloonTextChar">
    <w:name w:val="Balloon Text Char"/>
    <w:basedOn w:val="DefaultParagraphFont"/>
    <w:link w:val="BalloonText"/>
    <w:uiPriority w:val="99"/>
    <w:semiHidden/>
    <w:rsid w:val="008F756F"/>
    <w:rPr>
      <w:rFonts w:ascii="Tahoma" w:eastAsia="Times New Roman" w:hAnsi="Tahoma" w:cs="Tahoma"/>
      <w:sz w:val="16"/>
      <w:szCs w:val="16"/>
    </w:rPr>
  </w:style>
  <w:style w:type="character" w:styleId="CommentReference">
    <w:name w:val="annotation reference"/>
    <w:basedOn w:val="DefaultParagraphFont"/>
    <w:uiPriority w:val="99"/>
    <w:semiHidden/>
    <w:rsid w:val="008F756F"/>
    <w:rPr>
      <w:rFonts w:cs="Times New Roman"/>
      <w:sz w:val="16"/>
      <w:szCs w:val="16"/>
    </w:rPr>
  </w:style>
  <w:style w:type="paragraph" w:styleId="CommentText">
    <w:name w:val="annotation text"/>
    <w:basedOn w:val="Normal"/>
    <w:link w:val="CommentTextChar"/>
    <w:uiPriority w:val="99"/>
    <w:semiHidden/>
    <w:rsid w:val="008F756F"/>
    <w:rPr>
      <w:sz w:val="20"/>
      <w:szCs w:val="20"/>
    </w:rPr>
  </w:style>
  <w:style w:type="character" w:customStyle="1" w:styleId="CommentTextChar">
    <w:name w:val="Comment Text Char"/>
    <w:basedOn w:val="DefaultParagraphFont"/>
    <w:link w:val="CommentText"/>
    <w:uiPriority w:val="99"/>
    <w:semiHidden/>
    <w:rsid w:val="008F75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F756F"/>
    <w:rPr>
      <w:b/>
      <w:bCs/>
    </w:rPr>
  </w:style>
  <w:style w:type="character" w:customStyle="1" w:styleId="CommentSubjectChar">
    <w:name w:val="Comment Subject Char"/>
    <w:basedOn w:val="CommentTextChar"/>
    <w:link w:val="CommentSubject"/>
    <w:uiPriority w:val="99"/>
    <w:semiHidden/>
    <w:rsid w:val="008F756F"/>
    <w:rPr>
      <w:rFonts w:ascii="Times New Roman" w:eastAsia="Times New Roman" w:hAnsi="Times New Roman" w:cs="Times New Roman"/>
      <w:b/>
      <w:bCs/>
      <w:sz w:val="20"/>
      <w:szCs w:val="20"/>
    </w:rPr>
  </w:style>
  <w:style w:type="paragraph" w:styleId="ListParagraph">
    <w:name w:val="List Paragraph"/>
    <w:basedOn w:val="Normal"/>
    <w:uiPriority w:val="99"/>
    <w:qFormat/>
    <w:rsid w:val="008F756F"/>
    <w:pPr>
      <w:ind w:left="720"/>
      <w:contextualSpacing/>
    </w:pPr>
  </w:style>
  <w:style w:type="paragraph" w:customStyle="1" w:styleId="Mary">
    <w:name w:val="Mary"/>
    <w:basedOn w:val="Normal"/>
    <w:uiPriority w:val="99"/>
    <w:rsid w:val="008F756F"/>
    <w:rPr>
      <w:rFonts w:ascii="Arial Narrow" w:hAnsi="Arial Narrow"/>
    </w:rPr>
  </w:style>
  <w:style w:type="paragraph" w:styleId="Revision">
    <w:name w:val="Revision"/>
    <w:hidden/>
    <w:uiPriority w:val="99"/>
    <w:semiHidden/>
    <w:rsid w:val="008F756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8F756F"/>
    <w:rPr>
      <w:rFonts w:cs="Times New Roman"/>
      <w:color w:val="0000FF"/>
      <w:u w:val="single"/>
    </w:rPr>
  </w:style>
  <w:style w:type="table" w:styleId="TableGrid">
    <w:name w:val="Table Grid"/>
    <w:basedOn w:val="TableNormal"/>
    <w:uiPriority w:val="99"/>
    <w:rsid w:val="008F756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99"/>
    <w:qFormat/>
    <w:rsid w:val="008F756F"/>
    <w:rPr>
      <w:rFonts w:cs="Times New Roman"/>
      <w:i/>
      <w:iCs/>
    </w:rPr>
  </w:style>
  <w:style w:type="character" w:styleId="Strong">
    <w:name w:val="Strong"/>
    <w:basedOn w:val="DefaultParagraphFont"/>
    <w:uiPriority w:val="99"/>
    <w:qFormat/>
    <w:rsid w:val="008F756F"/>
    <w:rPr>
      <w:rFonts w:cs="Times New Roman"/>
      <w:b/>
      <w:bCs/>
    </w:rPr>
  </w:style>
  <w:style w:type="paragraph" w:customStyle="1" w:styleId="EndNoteBibliographyTitle">
    <w:name w:val="EndNote Bibliography Title"/>
    <w:basedOn w:val="Normal"/>
    <w:link w:val="EndNoteBibliographyTitleChar"/>
    <w:rsid w:val="008F756F"/>
    <w:pPr>
      <w:jc w:val="center"/>
    </w:pPr>
    <w:rPr>
      <w:noProof/>
    </w:rPr>
  </w:style>
  <w:style w:type="character" w:customStyle="1" w:styleId="NoSpacingChar">
    <w:name w:val="No Spacing Char"/>
    <w:basedOn w:val="DefaultParagraphFont"/>
    <w:link w:val="NoSpacing"/>
    <w:uiPriority w:val="99"/>
    <w:rsid w:val="008F756F"/>
    <w:rPr>
      <w:rFonts w:ascii="Calibri" w:eastAsia="Times New Roman" w:hAnsi="Calibri" w:cs="Times New Roman"/>
    </w:rPr>
  </w:style>
  <w:style w:type="character" w:customStyle="1" w:styleId="EndNoteBibliographyTitleChar">
    <w:name w:val="EndNote Bibliography Title Char"/>
    <w:basedOn w:val="NoSpacingChar"/>
    <w:link w:val="EndNoteBibliographyTitle"/>
    <w:rsid w:val="008F756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8F756F"/>
    <w:rPr>
      <w:noProof/>
    </w:rPr>
  </w:style>
  <w:style w:type="character" w:customStyle="1" w:styleId="EndNoteBibliographyChar">
    <w:name w:val="EndNote Bibliography Char"/>
    <w:basedOn w:val="NoSpacingChar"/>
    <w:link w:val="EndNoteBibliography"/>
    <w:rsid w:val="008F756F"/>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8F756F"/>
    <w:rPr>
      <w:color w:val="954F72" w:themeColor="followedHyperlink"/>
      <w:u w:val="single"/>
    </w:rPr>
  </w:style>
  <w:style w:type="character" w:styleId="Mention">
    <w:name w:val="Mention"/>
    <w:basedOn w:val="DefaultParagraphFont"/>
    <w:uiPriority w:val="99"/>
    <w:semiHidden/>
    <w:unhideWhenUsed/>
    <w:rsid w:val="001C4A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king@ttu.ed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guntzviller@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davis.lashara@gmail.com" TargetMode="External"/><Relationship Id="rId4" Type="http://schemas.openxmlformats.org/officeDocument/2006/relationships/webSettings" Target="webSettings.xml"/><Relationship Id="rId9" Type="http://schemas.openxmlformats.org/officeDocument/2006/relationships/hyperlink" Target="mailto:jakobdjensen@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Guntzviller</dc:creator>
  <cp:keywords/>
  <dc:description/>
  <cp:lastModifiedBy>Gigi Lomso</cp:lastModifiedBy>
  <cp:revision>18</cp:revision>
  <dcterms:created xsi:type="dcterms:W3CDTF">2017-01-29T00:30:00Z</dcterms:created>
  <dcterms:modified xsi:type="dcterms:W3CDTF">2017-01-29T00:48:00Z</dcterms:modified>
</cp:coreProperties>
</file>